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F6A92" w14:textId="46E2C42F" w:rsidR="00660446" w:rsidRPr="00033538" w:rsidRDefault="00660446" w:rsidP="00660446">
      <w:pPr>
        <w:rPr>
          <w:rFonts w:ascii="Verdana" w:hAnsi="Verdana"/>
          <w:b/>
          <w:bCs/>
          <w:szCs w:val="22"/>
        </w:rPr>
      </w:pPr>
      <w:r w:rsidRPr="00033538">
        <w:rPr>
          <w:rFonts w:ascii="Verdana" w:hAnsi="Verdana"/>
          <w:b/>
          <w:bCs/>
          <w:szCs w:val="22"/>
        </w:rPr>
        <w:t xml:space="preserve">Annex </w:t>
      </w:r>
      <w:r w:rsidR="00E62902">
        <w:rPr>
          <w:rFonts w:ascii="Verdana" w:hAnsi="Verdana"/>
          <w:b/>
          <w:bCs/>
          <w:szCs w:val="22"/>
        </w:rPr>
        <w:t>V</w:t>
      </w:r>
      <w:bookmarkStart w:id="0" w:name="_GoBack"/>
      <w:bookmarkEnd w:id="0"/>
      <w:r w:rsidR="00E62902" w:rsidRPr="00033538">
        <w:rPr>
          <w:rFonts w:ascii="Verdana" w:hAnsi="Verdana"/>
          <w:b/>
          <w:bCs/>
          <w:szCs w:val="22"/>
        </w:rPr>
        <w:t xml:space="preserve"> </w:t>
      </w:r>
      <w:r w:rsidRPr="00033538">
        <w:rPr>
          <w:rFonts w:ascii="Verdana" w:hAnsi="Verdana"/>
          <w:b/>
          <w:bCs/>
          <w:szCs w:val="22"/>
        </w:rPr>
        <w:t xml:space="preserve">– </w:t>
      </w:r>
      <w:r>
        <w:rPr>
          <w:rFonts w:ascii="Verdana" w:hAnsi="Verdana"/>
          <w:b/>
          <w:bCs/>
          <w:szCs w:val="22"/>
        </w:rPr>
        <w:t xml:space="preserve">Operational </w:t>
      </w:r>
      <w:r w:rsidR="00944F70">
        <w:rPr>
          <w:rFonts w:ascii="Verdana" w:hAnsi="Verdana"/>
          <w:b/>
          <w:bCs/>
          <w:szCs w:val="22"/>
        </w:rPr>
        <w:t>r</w:t>
      </w:r>
      <w:r>
        <w:rPr>
          <w:rFonts w:ascii="Verdana" w:hAnsi="Verdana"/>
          <w:b/>
          <w:bCs/>
          <w:szCs w:val="22"/>
        </w:rPr>
        <w:t>isk</w:t>
      </w:r>
      <w:r w:rsidRPr="00033538">
        <w:rPr>
          <w:rFonts w:ascii="Verdana" w:hAnsi="Verdana"/>
          <w:b/>
          <w:bCs/>
          <w:szCs w:val="22"/>
        </w:rPr>
        <w:t xml:space="preserve"> </w:t>
      </w:r>
      <w:r w:rsidR="00944F70">
        <w:rPr>
          <w:rFonts w:ascii="Verdana" w:hAnsi="Verdana"/>
          <w:b/>
          <w:bCs/>
          <w:szCs w:val="22"/>
        </w:rPr>
        <w:t>s</w:t>
      </w:r>
      <w:r w:rsidRPr="00033538">
        <w:rPr>
          <w:rFonts w:ascii="Verdana" w:hAnsi="Verdana"/>
          <w:b/>
          <w:bCs/>
          <w:szCs w:val="22"/>
        </w:rPr>
        <w:t xml:space="preserve">tructured template </w:t>
      </w:r>
      <w:r w:rsidR="00944F70">
        <w:rPr>
          <w:rFonts w:ascii="Verdana" w:hAnsi="Verdana"/>
          <w:b/>
          <w:bCs/>
          <w:szCs w:val="22"/>
        </w:rPr>
        <w:t>i</w:t>
      </w:r>
      <w:r w:rsidRPr="00033538">
        <w:rPr>
          <w:rFonts w:ascii="Verdana" w:hAnsi="Verdana"/>
          <w:b/>
          <w:bCs/>
          <w:szCs w:val="22"/>
        </w:rPr>
        <w:t>nstructions</w:t>
      </w:r>
    </w:p>
    <w:p w14:paraId="2AF546C9" w14:textId="77777777" w:rsidR="00F11506" w:rsidRPr="00660446" w:rsidRDefault="00F11506">
      <w:pPr>
        <w:rPr>
          <w:b/>
          <w:bCs/>
          <w:sz w:val="20"/>
        </w:rPr>
      </w:pPr>
    </w:p>
    <w:p w14:paraId="2AF546CA" w14:textId="77777777" w:rsidR="00AB34F5" w:rsidRPr="004E4CEB" w:rsidRDefault="00D87D85">
      <w:pPr>
        <w:rPr>
          <w:b/>
          <w:bCs/>
          <w:sz w:val="20"/>
          <w:lang w:val="en-US"/>
        </w:rPr>
      </w:pPr>
      <w:r w:rsidRPr="004E4CEB">
        <w:rPr>
          <w:b/>
          <w:bCs/>
          <w:sz w:val="20"/>
          <w:lang w:val="en-US"/>
        </w:rPr>
        <w:t>INTERNAL MODEL: OPERATIONAL RISK</w:t>
      </w:r>
    </w:p>
    <w:p w14:paraId="2AF546CB" w14:textId="77777777" w:rsidR="00AB34F5" w:rsidRPr="004E4CEB" w:rsidRDefault="00AB34F5">
      <w:pPr>
        <w:rPr>
          <w:b/>
          <w:bCs/>
          <w:sz w:val="20"/>
          <w:lang w:val="en-US"/>
        </w:rPr>
      </w:pPr>
    </w:p>
    <w:p w14:paraId="533ED0BE" w14:textId="396CD8F8" w:rsidR="009B35EF" w:rsidRPr="004E4CEB" w:rsidRDefault="009B35EF" w:rsidP="009B35EF">
      <w:pPr>
        <w:rPr>
          <w:sz w:val="20"/>
          <w:lang w:val="en-US"/>
        </w:rPr>
      </w:pPr>
      <w:r w:rsidRPr="004E4CEB">
        <w:rPr>
          <w:sz w:val="20"/>
          <w:lang w:val="en-US"/>
        </w:rPr>
        <w:t>Each undertaking can use their own operational risks classification.</w:t>
      </w:r>
    </w:p>
    <w:p w14:paraId="1FCC86E0" w14:textId="77777777" w:rsidR="008F545C" w:rsidRPr="004E4CEB" w:rsidRDefault="008F545C" w:rsidP="009B35EF">
      <w:pPr>
        <w:rPr>
          <w:sz w:val="20"/>
          <w:lang w:val="en-US"/>
        </w:rPr>
      </w:pPr>
    </w:p>
    <w:p w14:paraId="097CF018" w14:textId="7B443463" w:rsidR="009B35EF" w:rsidRPr="004E4CEB" w:rsidRDefault="009B35EF" w:rsidP="009B35EF">
      <w:pPr>
        <w:rPr>
          <w:sz w:val="20"/>
          <w:lang w:val="en-US"/>
        </w:rPr>
      </w:pPr>
      <w:r w:rsidRPr="004E4CEB">
        <w:rPr>
          <w:sz w:val="20"/>
          <w:lang w:val="en-US"/>
        </w:rPr>
        <w:t xml:space="preserve">The </w:t>
      </w:r>
      <w:r w:rsidR="008F545C" w:rsidRPr="004E4CEB">
        <w:rPr>
          <w:sz w:val="20"/>
          <w:lang w:val="en-US"/>
        </w:rPr>
        <w:t>OP_MAP_R*_C* codes contain</w:t>
      </w:r>
      <w:r w:rsidRPr="004E4CEB">
        <w:rPr>
          <w:sz w:val="20"/>
          <w:lang w:val="en-US"/>
        </w:rPr>
        <w:t xml:space="preserve"> information on the scenarios defined by the undertaking. In case of multi-tier classifications, </w:t>
      </w:r>
      <w:r w:rsidR="00707B4A">
        <w:rPr>
          <w:sz w:val="20"/>
          <w:lang w:val="en-US"/>
        </w:rPr>
        <w:t>data</w:t>
      </w:r>
      <w:r w:rsidR="00707B4A" w:rsidRPr="004E4CEB">
        <w:rPr>
          <w:sz w:val="20"/>
          <w:lang w:val="en-US"/>
        </w:rPr>
        <w:t xml:space="preserve"> </w:t>
      </w:r>
      <w:r w:rsidRPr="004E4CEB">
        <w:rPr>
          <w:sz w:val="20"/>
          <w:lang w:val="en-US"/>
        </w:rPr>
        <w:t xml:space="preserve">on </w:t>
      </w:r>
      <w:r w:rsidR="00AF4D70">
        <w:rPr>
          <w:sz w:val="20"/>
          <w:lang w:val="en-US"/>
        </w:rPr>
        <w:t>at least the</w:t>
      </w:r>
      <w:r w:rsidR="00AF4D70" w:rsidRPr="004E4CEB">
        <w:rPr>
          <w:sz w:val="20"/>
          <w:lang w:val="en-US"/>
        </w:rPr>
        <w:t xml:space="preserve"> </w:t>
      </w:r>
      <w:r w:rsidRPr="004E4CEB">
        <w:rPr>
          <w:sz w:val="20"/>
          <w:lang w:val="en-US"/>
        </w:rPr>
        <w:t>two highest levels should be provided</w:t>
      </w:r>
      <w:r w:rsidR="00B75197">
        <w:rPr>
          <w:sz w:val="20"/>
          <w:lang w:val="en-US"/>
        </w:rPr>
        <w:t xml:space="preserve"> </w:t>
      </w:r>
      <w:r w:rsidR="00B75197" w:rsidRPr="00D2186F">
        <w:rPr>
          <w:sz w:val="20"/>
          <w:lang w:val="en-US"/>
        </w:rPr>
        <w:t>(define L1 as the highest level and L2 the immediately lower one</w:t>
      </w:r>
      <w:r w:rsidR="00B75197">
        <w:rPr>
          <w:sz w:val="20"/>
          <w:lang w:val="en-US"/>
        </w:rPr>
        <w:t>, if present</w:t>
      </w:r>
      <w:r w:rsidR="00B75197" w:rsidRPr="00D2186F">
        <w:rPr>
          <w:sz w:val="20"/>
          <w:lang w:val="en-US"/>
        </w:rPr>
        <w:t>)</w:t>
      </w:r>
      <w:r w:rsidRPr="004E4CEB">
        <w:rPr>
          <w:sz w:val="20"/>
          <w:lang w:val="en-US"/>
        </w:rPr>
        <w:t>.</w:t>
      </w:r>
      <w:r w:rsidR="008F545C" w:rsidRPr="004E4CEB">
        <w:rPr>
          <w:sz w:val="20"/>
          <w:lang w:val="en-US"/>
        </w:rPr>
        <w:t xml:space="preserve"> </w:t>
      </w:r>
      <w:r w:rsidRPr="004E4CEB">
        <w:rPr>
          <w:sz w:val="20"/>
          <w:lang w:val="en-US"/>
        </w:rPr>
        <w:t>All the information to be filled in are related to the one year forecasted loss probability distributions.</w:t>
      </w:r>
    </w:p>
    <w:p w14:paraId="19138F87" w14:textId="77777777" w:rsidR="009B35EF" w:rsidRPr="004E4CEB" w:rsidRDefault="009B35EF" w:rsidP="009B35EF">
      <w:pPr>
        <w:rPr>
          <w:sz w:val="20"/>
          <w:lang w:val="en-US"/>
        </w:rPr>
      </w:pPr>
    </w:p>
    <w:p w14:paraId="1E75FA79" w14:textId="35E4DF04" w:rsidR="009B35EF" w:rsidRPr="004E4CEB" w:rsidRDefault="009B35EF" w:rsidP="009B35EF">
      <w:pPr>
        <w:rPr>
          <w:sz w:val="20"/>
          <w:lang w:val="en-US"/>
        </w:rPr>
      </w:pPr>
      <w:r w:rsidRPr="004E4CEB">
        <w:rPr>
          <w:sz w:val="20"/>
          <w:lang w:val="en-US"/>
        </w:rPr>
        <w:t>For a</w:t>
      </w:r>
      <w:r w:rsidR="00A80D2C">
        <w:rPr>
          <w:sz w:val="20"/>
          <w:lang w:val="en-US"/>
        </w:rPr>
        <w:t>n</w:t>
      </w:r>
      <w:r w:rsidRPr="004E4CEB">
        <w:rPr>
          <w:sz w:val="20"/>
          <w:lang w:val="en-US"/>
        </w:rPr>
        <w:t xml:space="preserve"> </w:t>
      </w:r>
      <w:r w:rsidR="00A80D2C">
        <w:rPr>
          <w:sz w:val="20"/>
          <w:lang w:val="en-US"/>
        </w:rPr>
        <w:t xml:space="preserve">event type category </w:t>
      </w:r>
      <w:r w:rsidR="0064011F">
        <w:rPr>
          <w:sz w:val="20"/>
          <w:lang w:val="en-US"/>
        </w:rPr>
        <w:t>defined as L</w:t>
      </w:r>
      <w:r w:rsidRPr="004E4CEB">
        <w:rPr>
          <w:sz w:val="20"/>
          <w:lang w:val="en-US"/>
        </w:rPr>
        <w:t>evel 1</w:t>
      </w:r>
      <w:r w:rsidR="00944F70">
        <w:rPr>
          <w:sz w:val="20"/>
          <w:lang w:val="en-US"/>
        </w:rPr>
        <w:t xml:space="preserve"> </w:t>
      </w:r>
      <w:r w:rsidR="0064011F">
        <w:rPr>
          <w:sz w:val="20"/>
          <w:lang w:val="en-US"/>
        </w:rPr>
        <w:t>(L1)</w:t>
      </w:r>
      <w:r w:rsidRPr="004E4CEB">
        <w:rPr>
          <w:sz w:val="20"/>
          <w:lang w:val="en-US"/>
        </w:rPr>
        <w:t xml:space="preserve"> occurrence</w:t>
      </w:r>
      <w:r w:rsidR="0064011F">
        <w:rPr>
          <w:sz w:val="20"/>
          <w:lang w:val="en-US"/>
        </w:rPr>
        <w:t>,</w:t>
      </w:r>
      <w:r w:rsidRPr="004E4CEB">
        <w:rPr>
          <w:sz w:val="20"/>
          <w:lang w:val="en-US"/>
        </w:rPr>
        <w:t xml:space="preserve"> all numerical information (SCR, quantiles) should refer to the aggregation of the risk made at that level. Of course, each </w:t>
      </w:r>
      <w:r w:rsidR="0064011F">
        <w:rPr>
          <w:sz w:val="20"/>
          <w:lang w:val="en-US"/>
        </w:rPr>
        <w:t>categor</w:t>
      </w:r>
      <w:r w:rsidR="00944F70">
        <w:rPr>
          <w:sz w:val="20"/>
          <w:lang w:val="en-US"/>
        </w:rPr>
        <w:t>y</w:t>
      </w:r>
      <w:r w:rsidR="0064011F">
        <w:rPr>
          <w:sz w:val="20"/>
          <w:lang w:val="en-US"/>
        </w:rPr>
        <w:t xml:space="preserve"> identified in the L</w:t>
      </w:r>
      <w:r w:rsidRPr="004E4CEB">
        <w:rPr>
          <w:sz w:val="20"/>
          <w:lang w:val="en-US"/>
        </w:rPr>
        <w:t>evel 2</w:t>
      </w:r>
      <w:r w:rsidR="0064011F">
        <w:rPr>
          <w:sz w:val="20"/>
          <w:lang w:val="en-US"/>
        </w:rPr>
        <w:t xml:space="preserve"> (L2)</w:t>
      </w:r>
      <w:r w:rsidRPr="004E4CEB">
        <w:rPr>
          <w:sz w:val="20"/>
          <w:lang w:val="en-US"/>
        </w:rPr>
        <w:t xml:space="preserve"> occurrence could come from an aggregation of lower levels loss distributions.</w:t>
      </w:r>
    </w:p>
    <w:p w14:paraId="2F16B1ED" w14:textId="3E91EF57" w:rsidR="009B35EF" w:rsidRDefault="009B35EF" w:rsidP="009B35EF">
      <w:pPr>
        <w:rPr>
          <w:sz w:val="20"/>
          <w:highlight w:val="yellow"/>
          <w:lang w:val="en-US"/>
        </w:rPr>
      </w:pPr>
    </w:p>
    <w:p w14:paraId="7C5E4CA4" w14:textId="77777777" w:rsidR="00B75197" w:rsidRPr="00B8250C" w:rsidRDefault="00B75197" w:rsidP="00B75197">
      <w:pPr>
        <w:rPr>
          <w:b/>
          <w:sz w:val="20"/>
          <w:lang w:val="en-US"/>
        </w:rPr>
      </w:pPr>
      <w:r w:rsidRPr="00B8250C">
        <w:rPr>
          <w:b/>
          <w:sz w:val="20"/>
          <w:lang w:val="en-US"/>
        </w:rPr>
        <w:t>An example of filling in the form</w:t>
      </w:r>
    </w:p>
    <w:p w14:paraId="48AF23CB" w14:textId="032605A0" w:rsidR="00B75197" w:rsidRPr="00DD3101" w:rsidRDefault="00B75197" w:rsidP="00B75197">
      <w:pPr>
        <w:rPr>
          <w:sz w:val="20"/>
          <w:lang w:val="en-US"/>
        </w:rPr>
      </w:pPr>
      <w:r w:rsidRPr="00DD3101">
        <w:rPr>
          <w:sz w:val="20"/>
          <w:lang w:val="en-US"/>
        </w:rPr>
        <w:t xml:space="preserve">Consider for example a model in which levels </w:t>
      </w:r>
      <w:r>
        <w:rPr>
          <w:sz w:val="20"/>
          <w:lang w:val="en-US"/>
        </w:rPr>
        <w:t>L</w:t>
      </w:r>
      <w:r w:rsidRPr="00DD3101">
        <w:rPr>
          <w:sz w:val="20"/>
          <w:lang w:val="en-US"/>
        </w:rPr>
        <w:t>1</w:t>
      </w:r>
      <w:r w:rsidR="00F56479">
        <w:rPr>
          <w:sz w:val="20"/>
          <w:lang w:val="en-US"/>
        </w:rPr>
        <w:t xml:space="preserve"> and </w:t>
      </w:r>
      <w:r>
        <w:rPr>
          <w:sz w:val="20"/>
          <w:lang w:val="en-US"/>
        </w:rPr>
        <w:t>L</w:t>
      </w:r>
      <w:r w:rsidRPr="00DD3101">
        <w:rPr>
          <w:sz w:val="20"/>
          <w:lang w:val="en-US"/>
        </w:rPr>
        <w:t>2 (L1 is obtained by aggregating L2; total operational risk is obtained aggregating L1 levels)</w:t>
      </w:r>
      <w:r>
        <w:rPr>
          <w:sz w:val="20"/>
          <w:lang w:val="en-US"/>
        </w:rPr>
        <w:t>.</w:t>
      </w:r>
      <w:r w:rsidRPr="00DD3101">
        <w:rPr>
          <w:sz w:val="20"/>
          <w:lang w:val="en-US"/>
        </w:rPr>
        <w:t xml:space="preserve"> </w:t>
      </w:r>
      <w:r>
        <w:rPr>
          <w:sz w:val="20"/>
          <w:lang w:val="en-US"/>
        </w:rPr>
        <w:t>I</w:t>
      </w:r>
      <w:r w:rsidRPr="00DD3101">
        <w:rPr>
          <w:sz w:val="20"/>
          <w:lang w:val="en-US"/>
        </w:rPr>
        <w:t>n this case</w:t>
      </w:r>
    </w:p>
    <w:p w14:paraId="01FCF219" w14:textId="77777777" w:rsidR="00B75197" w:rsidRPr="00D2186F" w:rsidRDefault="00B75197" w:rsidP="00B75197">
      <w:pPr>
        <w:pStyle w:val="ListParagraph"/>
        <w:numPr>
          <w:ilvl w:val="0"/>
          <w:numId w:val="16"/>
        </w:numPr>
        <w:rPr>
          <w:rStyle w:val="tlid-translation"/>
          <w:sz w:val="20"/>
          <w:lang w:val="en-US"/>
        </w:rPr>
      </w:pPr>
      <w:r w:rsidRPr="00D2186F">
        <w:rPr>
          <w:rStyle w:val="tlid-translation"/>
          <w:sz w:val="20"/>
          <w:lang w:val="en"/>
        </w:rPr>
        <w:t>the table must contain the list of L1</w:t>
      </w:r>
      <w:r>
        <w:rPr>
          <w:rStyle w:val="tlid-translation"/>
          <w:sz w:val="20"/>
          <w:lang w:val="en"/>
        </w:rPr>
        <w:t xml:space="preserve"> and</w:t>
      </w:r>
      <w:r w:rsidRPr="00D2186F">
        <w:rPr>
          <w:rStyle w:val="tlid-translation"/>
          <w:sz w:val="20"/>
          <w:lang w:val="en"/>
        </w:rPr>
        <w:t xml:space="preserve"> L2 levels with information relating to the probability distributions of the estimated losses (losses corresponds to the right tail; gains to the left tail); </w:t>
      </w:r>
    </w:p>
    <w:p w14:paraId="5FE06A45" w14:textId="77777777" w:rsidR="00B75197" w:rsidRPr="00D2186F" w:rsidRDefault="00B75197" w:rsidP="00B75197">
      <w:pPr>
        <w:pStyle w:val="ListParagraph"/>
        <w:numPr>
          <w:ilvl w:val="0"/>
          <w:numId w:val="16"/>
        </w:numPr>
        <w:rPr>
          <w:rStyle w:val="tlid-translation"/>
          <w:sz w:val="20"/>
          <w:lang w:val="en-US"/>
        </w:rPr>
      </w:pPr>
      <w:r w:rsidRPr="00D2186F">
        <w:rPr>
          <w:rStyle w:val="tlid-translation"/>
          <w:sz w:val="20"/>
          <w:lang w:val="en"/>
        </w:rPr>
        <w:t>the field “Probability distribution” must contain a text indicating the probability distribution used for losses (for example “</w:t>
      </w:r>
      <w:r w:rsidRPr="00D2186F">
        <w:rPr>
          <w:sz w:val="20"/>
          <w:lang w:val="en-US"/>
        </w:rPr>
        <w:t>Poisson-lognormal</w:t>
      </w:r>
      <w:r w:rsidRPr="00D2186F">
        <w:rPr>
          <w:rStyle w:val="tlid-translation"/>
          <w:sz w:val="20"/>
          <w:lang w:val="en"/>
        </w:rPr>
        <w:t>”)</w:t>
      </w:r>
      <w:r>
        <w:rPr>
          <w:rStyle w:val="tlid-translation"/>
          <w:sz w:val="20"/>
          <w:lang w:val="en"/>
        </w:rPr>
        <w:t xml:space="preserve"> in case of</w:t>
      </w:r>
      <w:r w:rsidRPr="00D2186F">
        <w:rPr>
          <w:rStyle w:val="tlid-translation"/>
          <w:sz w:val="20"/>
          <w:lang w:val="en"/>
        </w:rPr>
        <w:t xml:space="preserve"> levels obtained by quantification</w:t>
      </w:r>
      <w:r>
        <w:rPr>
          <w:rStyle w:val="tlid-translation"/>
          <w:sz w:val="20"/>
          <w:lang w:val="en"/>
        </w:rPr>
        <w:t xml:space="preserve"> and </w:t>
      </w:r>
      <w:r w:rsidRPr="00D2186F">
        <w:rPr>
          <w:rStyle w:val="tlid-translation"/>
          <w:sz w:val="20"/>
          <w:lang w:val="en"/>
        </w:rPr>
        <w:t xml:space="preserve">the </w:t>
      </w:r>
      <w:r>
        <w:rPr>
          <w:rStyle w:val="tlid-translation"/>
          <w:sz w:val="20"/>
          <w:lang w:val="en"/>
        </w:rPr>
        <w:t>text</w:t>
      </w:r>
      <w:r w:rsidRPr="00D2186F">
        <w:rPr>
          <w:rStyle w:val="tlid-translation"/>
          <w:sz w:val="20"/>
          <w:lang w:val="en"/>
        </w:rPr>
        <w:t xml:space="preserve"> “Obtained by aggregation of lower levels”</w:t>
      </w:r>
      <w:r>
        <w:rPr>
          <w:rStyle w:val="tlid-translation"/>
          <w:sz w:val="20"/>
          <w:lang w:val="en"/>
        </w:rPr>
        <w:t xml:space="preserve"> for example for a level L1, whose probability distribution is obtained by aggregating L2 items</w:t>
      </w:r>
      <w:r w:rsidRPr="00D2186F">
        <w:rPr>
          <w:rStyle w:val="tlid-translation"/>
          <w:sz w:val="20"/>
          <w:lang w:val="en"/>
        </w:rPr>
        <w:t>.</w:t>
      </w:r>
    </w:p>
    <w:p w14:paraId="3F59B3F5" w14:textId="3495A840" w:rsidR="00B75197" w:rsidRPr="00D2186F" w:rsidRDefault="00B75197" w:rsidP="00B75197">
      <w:pPr>
        <w:pStyle w:val="ListParagraph"/>
        <w:numPr>
          <w:ilvl w:val="0"/>
          <w:numId w:val="16"/>
        </w:numPr>
        <w:rPr>
          <w:rStyle w:val="tlid-translation"/>
          <w:sz w:val="20"/>
          <w:lang w:val="en-US"/>
        </w:rPr>
      </w:pPr>
      <w:r>
        <w:rPr>
          <w:bCs/>
          <w:noProof/>
          <w:sz w:val="20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07A2CF1E" wp14:editId="0BF06A2C">
            <wp:simplePos x="0" y="0"/>
            <wp:positionH relativeFrom="margin">
              <wp:posOffset>1455293</wp:posOffset>
            </wp:positionH>
            <wp:positionV relativeFrom="paragraph">
              <wp:posOffset>549554</wp:posOffset>
            </wp:positionV>
            <wp:extent cx="3023082" cy="2267712"/>
            <wp:effectExtent l="0" t="0" r="635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80_gerarchi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082" cy="2267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479">
        <w:rPr>
          <w:rStyle w:val="tlid-translation"/>
          <w:sz w:val="20"/>
          <w:lang w:val="en"/>
        </w:rPr>
        <w:t>the numerical fields “U</w:t>
      </w:r>
      <w:r w:rsidRPr="00D2186F">
        <w:rPr>
          <w:rStyle w:val="tlid-translation"/>
          <w:sz w:val="20"/>
          <w:lang w:val="en"/>
        </w:rPr>
        <w:t>nique ID” and “</w:t>
      </w:r>
      <w:r w:rsidR="00F56479">
        <w:rPr>
          <w:rStyle w:val="tlid-translation"/>
          <w:sz w:val="20"/>
          <w:lang w:val="en"/>
        </w:rPr>
        <w:t>U</w:t>
      </w:r>
      <w:r w:rsidRPr="00D2186F">
        <w:rPr>
          <w:rStyle w:val="tlid-translation"/>
          <w:sz w:val="20"/>
          <w:lang w:val="en"/>
        </w:rPr>
        <w:t xml:space="preserve">nique ID of </w:t>
      </w:r>
      <w:r w:rsidR="00F56479">
        <w:rPr>
          <w:rStyle w:val="tlid-translation"/>
          <w:sz w:val="20"/>
          <w:lang w:val="en"/>
        </w:rPr>
        <w:t>parent level</w:t>
      </w:r>
      <w:r w:rsidRPr="00D2186F">
        <w:rPr>
          <w:rStyle w:val="tlid-translation"/>
          <w:sz w:val="20"/>
          <w:lang w:val="en"/>
        </w:rPr>
        <w:t>” are used to provide the definition of the aggregation hierarchy. For each of the level in the hiera</w:t>
      </w:r>
      <w:r>
        <w:rPr>
          <w:rStyle w:val="tlid-translation"/>
          <w:sz w:val="20"/>
          <w:lang w:val="en"/>
        </w:rPr>
        <w:t>r</w:t>
      </w:r>
      <w:r w:rsidRPr="00D2186F">
        <w:rPr>
          <w:rStyle w:val="tlid-translation"/>
          <w:sz w:val="20"/>
          <w:lang w:val="en"/>
        </w:rPr>
        <w:t xml:space="preserve">chy define a numerical identifier (first field) and indicate the numerical identifier of the corresponding containing level (second field). </w:t>
      </w:r>
    </w:p>
    <w:p w14:paraId="6F599525" w14:textId="77777777" w:rsidR="00B75197" w:rsidRDefault="00B75197" w:rsidP="00B75197">
      <w:pPr>
        <w:rPr>
          <w:sz w:val="20"/>
          <w:lang w:val="en-US"/>
        </w:rPr>
      </w:pPr>
    </w:p>
    <w:p w14:paraId="5ABB8FCC" w14:textId="77777777" w:rsidR="00B75197" w:rsidRPr="00D2186F" w:rsidRDefault="00B75197" w:rsidP="00B75197">
      <w:pPr>
        <w:rPr>
          <w:sz w:val="20"/>
          <w:lang w:val="en-US"/>
        </w:rPr>
      </w:pPr>
    </w:p>
    <w:p w14:paraId="6888598D" w14:textId="77777777" w:rsidR="00B75197" w:rsidRDefault="00B75197" w:rsidP="00B75197">
      <w:pPr>
        <w:rPr>
          <w:bCs/>
          <w:sz w:val="20"/>
          <w:lang w:val="en-US"/>
        </w:rPr>
      </w:pPr>
    </w:p>
    <w:p w14:paraId="51E06B43" w14:textId="77777777" w:rsidR="00B75197" w:rsidRDefault="00B75197" w:rsidP="00B75197">
      <w:pPr>
        <w:rPr>
          <w:bCs/>
          <w:sz w:val="20"/>
          <w:lang w:val="en-US"/>
        </w:rPr>
      </w:pPr>
    </w:p>
    <w:p w14:paraId="297FB88A" w14:textId="77777777" w:rsidR="00B75197" w:rsidRDefault="00B75197" w:rsidP="00B75197">
      <w:pPr>
        <w:rPr>
          <w:bCs/>
          <w:sz w:val="20"/>
          <w:lang w:val="en-US"/>
        </w:rPr>
      </w:pPr>
    </w:p>
    <w:p w14:paraId="23D75FC0" w14:textId="77777777" w:rsidR="00B75197" w:rsidRDefault="00B75197" w:rsidP="00B75197">
      <w:pPr>
        <w:rPr>
          <w:bCs/>
          <w:sz w:val="20"/>
          <w:lang w:val="en-US"/>
        </w:rPr>
      </w:pPr>
    </w:p>
    <w:p w14:paraId="18810585" w14:textId="77777777" w:rsidR="00B75197" w:rsidRDefault="00B75197" w:rsidP="00B75197">
      <w:pPr>
        <w:rPr>
          <w:bCs/>
          <w:sz w:val="20"/>
          <w:lang w:val="en-US"/>
        </w:rPr>
      </w:pPr>
    </w:p>
    <w:p w14:paraId="28BD7EB5" w14:textId="77777777" w:rsidR="00B75197" w:rsidRDefault="00B75197" w:rsidP="00B75197">
      <w:pPr>
        <w:rPr>
          <w:bCs/>
          <w:sz w:val="20"/>
          <w:lang w:val="en-US"/>
        </w:rPr>
      </w:pPr>
    </w:p>
    <w:p w14:paraId="08B2B2DC" w14:textId="77777777" w:rsidR="00B75197" w:rsidRDefault="00B75197" w:rsidP="00B75197">
      <w:pPr>
        <w:rPr>
          <w:bCs/>
          <w:sz w:val="20"/>
          <w:lang w:val="en-US"/>
        </w:rPr>
      </w:pPr>
    </w:p>
    <w:p w14:paraId="4A8451E0" w14:textId="77777777" w:rsidR="00B75197" w:rsidRDefault="00B75197" w:rsidP="00B75197">
      <w:pPr>
        <w:rPr>
          <w:bCs/>
          <w:sz w:val="20"/>
          <w:lang w:val="en-US"/>
        </w:rPr>
      </w:pPr>
    </w:p>
    <w:p w14:paraId="5145E1CE" w14:textId="77777777" w:rsidR="00B75197" w:rsidRDefault="00B75197" w:rsidP="00B75197">
      <w:pPr>
        <w:rPr>
          <w:bCs/>
          <w:sz w:val="20"/>
          <w:lang w:val="en-US"/>
        </w:rPr>
      </w:pPr>
    </w:p>
    <w:p w14:paraId="00F4771A" w14:textId="77777777" w:rsidR="00B75197" w:rsidRDefault="00B75197" w:rsidP="00B75197">
      <w:pPr>
        <w:rPr>
          <w:bCs/>
          <w:sz w:val="20"/>
          <w:lang w:val="en-US"/>
        </w:rPr>
      </w:pPr>
    </w:p>
    <w:p w14:paraId="3D89DD10" w14:textId="77777777" w:rsidR="00B75197" w:rsidRDefault="00B75197" w:rsidP="00B75197">
      <w:pPr>
        <w:rPr>
          <w:bCs/>
          <w:sz w:val="20"/>
          <w:lang w:val="en-US"/>
        </w:rPr>
      </w:pPr>
    </w:p>
    <w:p w14:paraId="6CF286A1" w14:textId="77777777" w:rsidR="00B75197" w:rsidRDefault="00B75197" w:rsidP="00B75197">
      <w:pPr>
        <w:rPr>
          <w:bCs/>
          <w:sz w:val="20"/>
          <w:lang w:val="en-US"/>
        </w:rPr>
      </w:pPr>
    </w:p>
    <w:p w14:paraId="2F23AF4C" w14:textId="77777777" w:rsidR="00B75197" w:rsidRDefault="00B75197" w:rsidP="00B75197">
      <w:pPr>
        <w:rPr>
          <w:bCs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1"/>
        <w:gridCol w:w="1474"/>
        <w:gridCol w:w="1474"/>
        <w:gridCol w:w="3908"/>
      </w:tblGrid>
      <w:tr w:rsidR="00B75197" w14:paraId="2CA58DEA" w14:textId="77777777" w:rsidTr="00FD13FD">
        <w:trPr>
          <w:trHeight w:val="70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8C42A" w14:textId="77777777" w:rsidR="00B75197" w:rsidRDefault="00B75197" w:rsidP="00FD13FD">
            <w:pPr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</w:pPr>
            <w:r w:rsidRPr="00E8148F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Internal scenario classification</w:t>
            </w:r>
          </w:p>
          <w:p w14:paraId="765A32A8" w14:textId="77777777" w:rsidR="00B75197" w:rsidRPr="00E8148F" w:rsidRDefault="00B75197" w:rsidP="00FD13FD">
            <w:pPr>
              <w:jc w:val="left"/>
              <w:rPr>
                <w:bCs/>
                <w:sz w:val="18"/>
                <w:lang w:val="en-US"/>
              </w:rPr>
            </w:pPr>
            <w:r w:rsidRPr="00E8148F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[free text]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4818" w14:textId="60DC391B" w:rsidR="00B75197" w:rsidRDefault="00F56479" w:rsidP="00FD13FD">
            <w:pPr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U</w:t>
            </w:r>
            <w:r w:rsidR="00B75197" w:rsidRPr="00E8148F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nique ID</w:t>
            </w:r>
          </w:p>
          <w:p w14:paraId="7218C4AA" w14:textId="77777777" w:rsidR="00B75197" w:rsidRPr="00E8148F" w:rsidRDefault="00B75197" w:rsidP="00FD13FD">
            <w:pPr>
              <w:jc w:val="left"/>
              <w:rPr>
                <w:bCs/>
                <w:sz w:val="18"/>
                <w:lang w:val="en-US"/>
              </w:rPr>
            </w:pPr>
            <w:r w:rsidRPr="00E8148F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[number]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A904" w14:textId="3521BBBC" w:rsidR="00B75197" w:rsidRDefault="00F56479" w:rsidP="00FD13FD">
            <w:pPr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U</w:t>
            </w:r>
            <w:r w:rsidR="00B75197" w:rsidRPr="00BE7491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 xml:space="preserve">nique ID of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parent</w:t>
            </w:r>
            <w:r w:rsidR="00B75197" w:rsidRPr="00BE7491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 xml:space="preserve"> level.</w:t>
            </w:r>
          </w:p>
          <w:p w14:paraId="4789D0A6" w14:textId="77777777" w:rsidR="00B75197" w:rsidRPr="00BE7491" w:rsidRDefault="00B75197" w:rsidP="00FD13FD">
            <w:pPr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</w:pPr>
            <w:r w:rsidRPr="00E8148F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[number]</w:t>
            </w: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16541D" w14:textId="77777777" w:rsidR="00B75197" w:rsidRPr="00BE7491" w:rsidRDefault="00B75197" w:rsidP="00FD13F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</w:pPr>
          </w:p>
        </w:tc>
      </w:tr>
      <w:tr w:rsidR="00B75197" w14:paraId="023F2A68" w14:textId="77777777" w:rsidTr="00FD13FD">
        <w:tc>
          <w:tcPr>
            <w:tcW w:w="1361" w:type="dxa"/>
            <w:tcBorders>
              <w:top w:val="single" w:sz="4" w:space="0" w:color="auto"/>
            </w:tcBorders>
          </w:tcPr>
          <w:p w14:paraId="66421861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L2 A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</w:tcPr>
          <w:p w14:paraId="10AE414B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9DFC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101</w:t>
            </w:r>
          </w:p>
        </w:tc>
        <w:tc>
          <w:tcPr>
            <w:tcW w:w="3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87D1" w14:textId="7CC122F1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 w:rsidRPr="00DD3101">
              <w:rPr>
                <w:bCs/>
                <w:sz w:val="20"/>
                <w:lang w:val="en-US"/>
              </w:rPr>
              <w:t>Note that the ID of the containing level is not valued for L1 levels</w:t>
            </w:r>
            <w:r>
              <w:rPr>
                <w:bCs/>
                <w:sz w:val="20"/>
                <w:lang w:val="en-US"/>
              </w:rPr>
              <w:t xml:space="preserve">, as the </w:t>
            </w:r>
            <w:r w:rsidR="005C494E">
              <w:rPr>
                <w:bCs/>
                <w:sz w:val="20"/>
                <w:lang w:val="en-US"/>
              </w:rPr>
              <w:t>ultimate parent</w:t>
            </w:r>
            <w:r>
              <w:rPr>
                <w:bCs/>
                <w:sz w:val="20"/>
                <w:lang w:val="en-US"/>
              </w:rPr>
              <w:t xml:space="preserve"> level is the operational risk itself</w:t>
            </w:r>
            <w:r w:rsidRPr="00DD3101">
              <w:rPr>
                <w:bCs/>
                <w:sz w:val="20"/>
                <w:lang w:val="en-US"/>
              </w:rPr>
              <w:t>.</w:t>
            </w:r>
          </w:p>
        </w:tc>
      </w:tr>
      <w:tr w:rsidR="00B75197" w14:paraId="6FD97567" w14:textId="77777777" w:rsidTr="00FD13FD">
        <w:tc>
          <w:tcPr>
            <w:tcW w:w="1361" w:type="dxa"/>
          </w:tcPr>
          <w:p w14:paraId="4C4A8437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L2 B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14:paraId="61BF00CE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2F9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101</w:t>
            </w: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920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  <w:tr w:rsidR="00B75197" w14:paraId="72071183" w14:textId="77777777" w:rsidTr="00FD13FD">
        <w:tc>
          <w:tcPr>
            <w:tcW w:w="1361" w:type="dxa"/>
          </w:tcPr>
          <w:p w14:paraId="0479D606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L2 C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14:paraId="51146358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0588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101</w:t>
            </w: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EEB9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  <w:tr w:rsidR="00B75197" w14:paraId="431BFDBF" w14:textId="77777777" w:rsidTr="00FD13FD">
        <w:tc>
          <w:tcPr>
            <w:tcW w:w="1361" w:type="dxa"/>
          </w:tcPr>
          <w:p w14:paraId="1437B46C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L2 D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14:paraId="38114104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0F9F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102</w:t>
            </w: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0015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  <w:tr w:rsidR="00B75197" w14:paraId="28439441" w14:textId="77777777" w:rsidTr="00FD13FD">
        <w:tc>
          <w:tcPr>
            <w:tcW w:w="1361" w:type="dxa"/>
          </w:tcPr>
          <w:p w14:paraId="23E2533E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L2 E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14:paraId="3CA0369C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C447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102</w:t>
            </w: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E2F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  <w:tr w:rsidR="00B75197" w14:paraId="59A6480F" w14:textId="77777777" w:rsidTr="00FD13FD">
        <w:tc>
          <w:tcPr>
            <w:tcW w:w="1361" w:type="dxa"/>
          </w:tcPr>
          <w:p w14:paraId="439B376A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L1 A</w:t>
            </w:r>
          </w:p>
        </w:tc>
        <w:tc>
          <w:tcPr>
            <w:tcW w:w="1474" w:type="dxa"/>
          </w:tcPr>
          <w:p w14:paraId="34A9AC85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101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</w:tcPr>
          <w:p w14:paraId="6C4C45BA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E17D" w14:textId="77777777" w:rsidR="00B75197" w:rsidRPr="00DD3101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  <w:tr w:rsidR="00B75197" w14:paraId="31E98EFB" w14:textId="77777777" w:rsidTr="00FD13FD">
        <w:tc>
          <w:tcPr>
            <w:tcW w:w="1361" w:type="dxa"/>
          </w:tcPr>
          <w:p w14:paraId="5B274482" w14:textId="77777777" w:rsidR="00B75197" w:rsidRDefault="00B75197" w:rsidP="00FD13FD">
            <w:pPr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L1 B</w:t>
            </w:r>
          </w:p>
        </w:tc>
        <w:tc>
          <w:tcPr>
            <w:tcW w:w="1474" w:type="dxa"/>
          </w:tcPr>
          <w:p w14:paraId="0C7C1FFF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102</w:t>
            </w: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14:paraId="10E43B47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C4" w14:textId="77777777" w:rsidR="00B75197" w:rsidRDefault="00B75197" w:rsidP="00FD13FD">
            <w:pPr>
              <w:jc w:val="center"/>
              <w:rPr>
                <w:bCs/>
                <w:sz w:val="20"/>
                <w:lang w:val="en-US"/>
              </w:rPr>
            </w:pPr>
          </w:p>
        </w:tc>
      </w:tr>
    </w:tbl>
    <w:p w14:paraId="681EFB7D" w14:textId="77777777" w:rsidR="00B75197" w:rsidRDefault="00B75197" w:rsidP="00B75197">
      <w:pPr>
        <w:rPr>
          <w:bCs/>
          <w:sz w:val="20"/>
          <w:lang w:val="en-US"/>
        </w:rPr>
      </w:pPr>
    </w:p>
    <w:p w14:paraId="7F97C49A" w14:textId="77777777" w:rsidR="00B75197" w:rsidRPr="004E4CEB" w:rsidRDefault="00B75197" w:rsidP="009B35EF">
      <w:pPr>
        <w:rPr>
          <w:sz w:val="20"/>
          <w:highlight w:val="yellow"/>
          <w:lang w:val="en-US"/>
        </w:rPr>
      </w:pPr>
    </w:p>
    <w:p w14:paraId="14B48CE5" w14:textId="2125DD46" w:rsidR="00B75197" w:rsidRDefault="00B75197">
      <w:pPr>
        <w:jc w:val="left"/>
        <w:rPr>
          <w:bCs/>
          <w:sz w:val="20"/>
          <w:lang w:val="en-US"/>
        </w:rPr>
      </w:pPr>
      <w:r>
        <w:rPr>
          <w:bCs/>
          <w:sz w:val="20"/>
          <w:lang w:val="en-US"/>
        </w:rPr>
        <w:br w:type="page"/>
      </w:r>
    </w:p>
    <w:p w14:paraId="44A67E40" w14:textId="3C8788DC" w:rsidR="009B35EF" w:rsidRPr="004E4CEB" w:rsidRDefault="00057AB0" w:rsidP="009B35EF">
      <w:pPr>
        <w:rPr>
          <w:bCs/>
          <w:sz w:val="20"/>
          <w:lang w:val="en-US"/>
        </w:rPr>
      </w:pPr>
      <w:r w:rsidRPr="004E4CEB">
        <w:rPr>
          <w:b/>
          <w:sz w:val="20"/>
        </w:rPr>
        <w:lastRenderedPageBreak/>
        <w:t>Operational Risk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5386"/>
      </w:tblGrid>
      <w:tr w:rsidR="009B35EF" w:rsidRPr="004E4CEB" w14:paraId="2CA911BF" w14:textId="77777777" w:rsidTr="000427D8">
        <w:trPr>
          <w:trHeight w:val="285"/>
        </w:trPr>
        <w:tc>
          <w:tcPr>
            <w:tcW w:w="1668" w:type="dxa"/>
            <w:noWrap/>
            <w:vAlign w:val="center"/>
            <w:hideMark/>
          </w:tcPr>
          <w:p w14:paraId="6D8DDEB7" w14:textId="77777777" w:rsidR="009B35EF" w:rsidRPr="004E4CEB" w:rsidRDefault="009B35EF" w:rsidP="000427D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6" w:type="dxa"/>
            <w:vAlign w:val="center"/>
            <w:hideMark/>
          </w:tcPr>
          <w:p w14:paraId="76A61527" w14:textId="77777777" w:rsidR="009B35EF" w:rsidRPr="004E4CEB" w:rsidRDefault="009B35EF" w:rsidP="000427D8">
            <w:pPr>
              <w:jc w:val="center"/>
              <w:rPr>
                <w:b/>
                <w:bCs/>
                <w:sz w:val="20"/>
              </w:rPr>
            </w:pPr>
            <w:r w:rsidRPr="004E4CEB">
              <w:rPr>
                <w:b/>
                <w:bCs/>
                <w:sz w:val="20"/>
              </w:rPr>
              <w:t>ITEM</w:t>
            </w:r>
          </w:p>
        </w:tc>
        <w:tc>
          <w:tcPr>
            <w:tcW w:w="5386" w:type="dxa"/>
            <w:vAlign w:val="center"/>
            <w:hideMark/>
          </w:tcPr>
          <w:p w14:paraId="5C8670FA" w14:textId="77777777" w:rsidR="009B35EF" w:rsidRPr="004E4CEB" w:rsidRDefault="009B35EF" w:rsidP="000427D8">
            <w:pPr>
              <w:jc w:val="center"/>
              <w:rPr>
                <w:b/>
                <w:bCs/>
                <w:sz w:val="20"/>
              </w:rPr>
            </w:pPr>
            <w:r w:rsidRPr="004E4CEB">
              <w:rPr>
                <w:b/>
                <w:bCs/>
                <w:sz w:val="20"/>
              </w:rPr>
              <w:t>INSTRUCTIONS</w:t>
            </w:r>
          </w:p>
        </w:tc>
      </w:tr>
      <w:tr w:rsidR="009B35EF" w:rsidRPr="004E4CEB" w14:paraId="49C6B398" w14:textId="77777777" w:rsidTr="000427D8">
        <w:trPr>
          <w:trHeight w:val="735"/>
        </w:trPr>
        <w:tc>
          <w:tcPr>
            <w:tcW w:w="1668" w:type="dxa"/>
          </w:tcPr>
          <w:p w14:paraId="2540B535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OP_QUE_XXX_R1_C1</w:t>
            </w:r>
          </w:p>
        </w:tc>
        <w:tc>
          <w:tcPr>
            <w:tcW w:w="2126" w:type="dxa"/>
          </w:tcPr>
          <w:p w14:paraId="3E7487AC" w14:textId="77777777" w:rsidR="009B35EF" w:rsidRPr="004E4CEB" w:rsidRDefault="009B35EF" w:rsidP="000427D8">
            <w:pPr>
              <w:jc w:val="left"/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Is Basel L1 classification used?</w:t>
            </w:r>
          </w:p>
        </w:tc>
        <w:tc>
          <w:tcPr>
            <w:tcW w:w="5386" w:type="dxa"/>
          </w:tcPr>
          <w:p w14:paraId="1785AE06" w14:textId="4FCC1999" w:rsidR="009B35EF" w:rsidRPr="004E4CEB" w:rsidRDefault="00944F70" w:rsidP="000427D8">
            <w:pPr>
              <w:rPr>
                <w:sz w:val="20"/>
                <w:lang w:val="en-GB" w:eastAsia="es-ES"/>
              </w:rPr>
            </w:pPr>
            <w:r>
              <w:rPr>
                <w:sz w:val="20"/>
                <w:lang w:val="en-GB" w:eastAsia="es-ES"/>
              </w:rPr>
              <w:t>i.</w:t>
            </w:r>
            <w:r w:rsidR="009B35EF" w:rsidRPr="004E4CEB">
              <w:rPr>
                <w:sz w:val="20"/>
                <w:lang w:val="en-GB" w:eastAsia="es-ES"/>
              </w:rPr>
              <w:t>e. The seven high-level categories</w:t>
            </w:r>
            <w:r w:rsidR="00BD628D">
              <w:rPr>
                <w:sz w:val="20"/>
                <w:lang w:val="en-GB" w:eastAsia="es-ES"/>
              </w:rPr>
              <w:t xml:space="preserve"> (L1)</w:t>
            </w:r>
            <w:r w:rsidR="009B35EF" w:rsidRPr="004E4CEB">
              <w:rPr>
                <w:sz w:val="20"/>
                <w:lang w:val="en-GB" w:eastAsia="es-ES"/>
              </w:rPr>
              <w:t xml:space="preserve"> specified in </w:t>
            </w:r>
            <w:hyperlink r:id="rId12" w:history="1">
              <w:r w:rsidR="009B35EF" w:rsidRPr="004E4CEB">
                <w:rPr>
                  <w:rStyle w:val="Hyperlink"/>
                  <w:sz w:val="20"/>
                  <w:lang w:val="en-GB" w:eastAsia="es-ES"/>
                </w:rPr>
                <w:t>Basel II</w:t>
              </w:r>
            </w:hyperlink>
          </w:p>
          <w:p w14:paraId="7E71DC2A" w14:textId="77777777" w:rsidR="009B35EF" w:rsidRPr="004E4CEB" w:rsidRDefault="009B35EF" w:rsidP="000427D8">
            <w:pPr>
              <w:rPr>
                <w:sz w:val="20"/>
                <w:lang w:val="en-GB" w:eastAsia="es-ES"/>
              </w:rPr>
            </w:pPr>
          </w:p>
          <w:p w14:paraId="71183C1A" w14:textId="77777777" w:rsidR="009B35EF" w:rsidRPr="004E4CEB" w:rsidRDefault="009B35EF" w:rsidP="000427D8">
            <w:pPr>
              <w:rPr>
                <w:sz w:val="20"/>
                <w:lang w:val="en-GB" w:eastAsia="es-ES"/>
              </w:rPr>
            </w:pPr>
            <w:r w:rsidRPr="004E4CEB">
              <w:rPr>
                <w:sz w:val="20"/>
                <w:lang w:val="en-GB" w:eastAsia="es-ES"/>
              </w:rPr>
              <w:t>Select ‘Yes’ or ‘No’ from Drop-down list</w:t>
            </w:r>
          </w:p>
        </w:tc>
      </w:tr>
      <w:tr w:rsidR="009B35EF" w:rsidRPr="004E4CEB" w14:paraId="1A9A5225" w14:textId="77777777" w:rsidTr="000427D8">
        <w:trPr>
          <w:trHeight w:val="735"/>
        </w:trPr>
        <w:tc>
          <w:tcPr>
            <w:tcW w:w="1668" w:type="dxa"/>
          </w:tcPr>
          <w:p w14:paraId="66E4BBB0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OP_QUE_XXX_R2_C1</w:t>
            </w:r>
          </w:p>
        </w:tc>
        <w:tc>
          <w:tcPr>
            <w:tcW w:w="2126" w:type="dxa"/>
          </w:tcPr>
          <w:p w14:paraId="7001373C" w14:textId="77777777" w:rsidR="009B35EF" w:rsidRPr="004E4CEB" w:rsidRDefault="009B35EF" w:rsidP="000427D8">
            <w:pPr>
              <w:jc w:val="left"/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Is Basel L1 and L2 classification used?</w:t>
            </w:r>
          </w:p>
        </w:tc>
        <w:tc>
          <w:tcPr>
            <w:tcW w:w="5386" w:type="dxa"/>
          </w:tcPr>
          <w:p w14:paraId="79B0F300" w14:textId="562D08E4" w:rsidR="009B35EF" w:rsidRPr="004E4CEB" w:rsidRDefault="00944F70" w:rsidP="000427D8">
            <w:pPr>
              <w:rPr>
                <w:sz w:val="20"/>
                <w:lang w:val="en-GB" w:eastAsia="es-ES"/>
              </w:rPr>
            </w:pPr>
            <w:r>
              <w:rPr>
                <w:sz w:val="20"/>
                <w:lang w:val="en-GB" w:eastAsia="es-ES"/>
              </w:rPr>
              <w:t>i.</w:t>
            </w:r>
            <w:r w:rsidR="009B35EF" w:rsidRPr="004E4CEB">
              <w:rPr>
                <w:sz w:val="20"/>
                <w:lang w:val="en-GB" w:eastAsia="es-ES"/>
              </w:rPr>
              <w:t xml:space="preserve">e. The Level 1 and 2 categories </w:t>
            </w:r>
            <w:r w:rsidR="00B75197" w:rsidRPr="0049500F">
              <w:rPr>
                <w:sz w:val="20"/>
                <w:lang w:val="en-GB" w:eastAsia="es-ES"/>
              </w:rPr>
              <w:t>and their hierarchy (which L2 are included in each L1)</w:t>
            </w:r>
            <w:r w:rsidR="00B75197">
              <w:rPr>
                <w:sz w:val="20"/>
                <w:lang w:val="en-GB" w:eastAsia="es-ES"/>
              </w:rPr>
              <w:t xml:space="preserve"> </w:t>
            </w:r>
            <w:r w:rsidR="009B35EF" w:rsidRPr="004E4CEB">
              <w:rPr>
                <w:sz w:val="20"/>
                <w:lang w:val="en-GB" w:eastAsia="es-ES"/>
              </w:rPr>
              <w:t xml:space="preserve">specified in </w:t>
            </w:r>
            <w:hyperlink r:id="rId13" w:history="1">
              <w:r w:rsidR="009B35EF" w:rsidRPr="004E4CEB">
                <w:rPr>
                  <w:rStyle w:val="Hyperlink"/>
                  <w:sz w:val="20"/>
                  <w:lang w:val="en-GB" w:eastAsia="es-ES"/>
                </w:rPr>
                <w:t>Basel II</w:t>
              </w:r>
            </w:hyperlink>
            <w:r w:rsidR="009B35EF" w:rsidRPr="004E4CEB">
              <w:rPr>
                <w:sz w:val="20"/>
                <w:lang w:val="en-GB" w:eastAsia="es-ES"/>
              </w:rPr>
              <w:t xml:space="preserve"> [</w:t>
            </w:r>
            <w:hyperlink r:id="rId14" w:history="1">
              <w:r w:rsidR="009B35EF" w:rsidRPr="004E4CEB">
                <w:rPr>
                  <w:rStyle w:val="Hyperlink"/>
                  <w:sz w:val="20"/>
                  <w:lang w:val="en-GB" w:eastAsia="es-ES"/>
                </w:rPr>
                <w:t>Annex 7</w:t>
              </w:r>
            </w:hyperlink>
            <w:r w:rsidR="009B35EF" w:rsidRPr="004E4CEB">
              <w:rPr>
                <w:sz w:val="20"/>
                <w:lang w:val="en-GB" w:eastAsia="es-ES"/>
              </w:rPr>
              <w:t>].</w:t>
            </w:r>
          </w:p>
          <w:p w14:paraId="14675119" w14:textId="77777777" w:rsidR="009B35EF" w:rsidRPr="004E4CEB" w:rsidRDefault="009B35EF" w:rsidP="000427D8">
            <w:pPr>
              <w:rPr>
                <w:sz w:val="20"/>
                <w:lang w:val="en-GB" w:eastAsia="es-ES"/>
              </w:rPr>
            </w:pPr>
          </w:p>
          <w:p w14:paraId="5A9ED691" w14:textId="77777777" w:rsidR="009B35EF" w:rsidRPr="004E4CEB" w:rsidRDefault="009B35EF" w:rsidP="000427D8">
            <w:pPr>
              <w:rPr>
                <w:sz w:val="20"/>
                <w:lang w:val="en-GB" w:eastAsia="es-ES"/>
              </w:rPr>
            </w:pPr>
            <w:r w:rsidRPr="004E4CEB">
              <w:rPr>
                <w:sz w:val="20"/>
                <w:lang w:val="en-GB" w:eastAsia="es-ES"/>
              </w:rPr>
              <w:t>Select ‘Yes’ or ‘No’ from Drop-down list</w:t>
            </w:r>
          </w:p>
        </w:tc>
      </w:tr>
      <w:tr w:rsidR="009B35EF" w:rsidRPr="004E4CEB" w14:paraId="1712AE62" w14:textId="77777777" w:rsidTr="000427D8">
        <w:trPr>
          <w:trHeight w:val="735"/>
        </w:trPr>
        <w:tc>
          <w:tcPr>
            <w:tcW w:w="1668" w:type="dxa"/>
          </w:tcPr>
          <w:p w14:paraId="2D4E0446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OP_MAP_</w:t>
            </w:r>
            <w:r w:rsidRPr="004E4CEB" w:rsidDel="00C34506">
              <w:rPr>
                <w:sz w:val="20"/>
              </w:rPr>
              <w:t xml:space="preserve"> </w:t>
            </w:r>
            <w:r w:rsidRPr="004E4CEB">
              <w:rPr>
                <w:sz w:val="20"/>
              </w:rPr>
              <w:t>XXX_ R1_ C1</w:t>
            </w:r>
          </w:p>
          <w:p w14:paraId="2506B910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0DF6672B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OP_MAP_</w:t>
            </w:r>
            <w:r w:rsidRPr="004E4CEB" w:rsidDel="00C34506">
              <w:rPr>
                <w:sz w:val="20"/>
              </w:rPr>
              <w:t xml:space="preserve"> </w:t>
            </w:r>
            <w:r w:rsidRPr="004E4CEB">
              <w:rPr>
                <w:sz w:val="20"/>
              </w:rPr>
              <w:t>XXX_ RXX_ C1</w:t>
            </w:r>
          </w:p>
          <w:p w14:paraId="40E0939E" w14:textId="77777777" w:rsidR="009B35EF" w:rsidRPr="004E4CEB" w:rsidDel="004E1EA1" w:rsidRDefault="009B35EF" w:rsidP="000427D8">
            <w:pPr>
              <w:rPr>
                <w:sz w:val="20"/>
              </w:rPr>
            </w:pPr>
          </w:p>
        </w:tc>
        <w:tc>
          <w:tcPr>
            <w:tcW w:w="2126" w:type="dxa"/>
          </w:tcPr>
          <w:p w14:paraId="028BFAAE" w14:textId="04CDCC01" w:rsidR="009B35EF" w:rsidRPr="004E4CEB" w:rsidRDefault="00776862" w:rsidP="000427D8">
            <w:pPr>
              <w:jc w:val="lef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Scenario name</w:t>
            </w:r>
          </w:p>
        </w:tc>
        <w:tc>
          <w:tcPr>
            <w:tcW w:w="5386" w:type="dxa"/>
          </w:tcPr>
          <w:p w14:paraId="6F4A790C" w14:textId="40372629" w:rsidR="009B35EF" w:rsidRPr="004E4CEB" w:rsidRDefault="00B76935" w:rsidP="000427D8">
            <w:pPr>
              <w:rPr>
                <w:sz w:val="20"/>
                <w:lang w:val="en-GB" w:eastAsia="es-ES"/>
              </w:rPr>
            </w:pPr>
            <w:r w:rsidRPr="004E4CEB">
              <w:rPr>
                <w:sz w:val="20"/>
                <w:lang w:val="en-US"/>
              </w:rPr>
              <w:t>This table should be completed by all undertakings [ie. even if the undertaking answers ‘No’ to ‘OP_QUE_XXX_R1_C1’ and/or ‘OP_QUE_XXX_R2_C1’] with the names of the internal scenarios used for Operational risk calculations by the internal model.</w:t>
            </w:r>
          </w:p>
        </w:tc>
      </w:tr>
      <w:tr w:rsidR="00B76935" w:rsidRPr="004E4CEB" w14:paraId="2D630AAD" w14:textId="77777777" w:rsidTr="000427D8">
        <w:trPr>
          <w:trHeight w:val="735"/>
        </w:trPr>
        <w:tc>
          <w:tcPr>
            <w:tcW w:w="1668" w:type="dxa"/>
          </w:tcPr>
          <w:p w14:paraId="42B8A42B" w14:textId="77777777" w:rsidR="00B76935" w:rsidRPr="004E4CEB" w:rsidRDefault="00B76935" w:rsidP="00B76935">
            <w:pPr>
              <w:rPr>
                <w:sz w:val="20"/>
              </w:rPr>
            </w:pPr>
            <w:r w:rsidRPr="004E4CEB">
              <w:rPr>
                <w:sz w:val="20"/>
              </w:rPr>
              <w:t>OP_MAP_XXX_R1_C2</w:t>
            </w:r>
          </w:p>
          <w:p w14:paraId="407ED2CC" w14:textId="77777777" w:rsidR="00B76935" w:rsidRPr="004E4CEB" w:rsidRDefault="00B76935" w:rsidP="00B76935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5C69B965" w14:textId="77777777" w:rsidR="00B76935" w:rsidRPr="004E4CEB" w:rsidRDefault="00B76935" w:rsidP="00B76935">
            <w:pPr>
              <w:rPr>
                <w:sz w:val="20"/>
              </w:rPr>
            </w:pPr>
            <w:r w:rsidRPr="004E4CEB">
              <w:rPr>
                <w:sz w:val="20"/>
              </w:rPr>
              <w:t>OP_MAP_XXX_RXX_C2</w:t>
            </w:r>
          </w:p>
        </w:tc>
        <w:tc>
          <w:tcPr>
            <w:tcW w:w="2126" w:type="dxa"/>
          </w:tcPr>
          <w:p w14:paraId="5EFA3700" w14:textId="6617FFCD" w:rsidR="00B76935" w:rsidRPr="004E4CEB" w:rsidRDefault="00B76935" w:rsidP="00B76935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Unique ID</w:t>
            </w:r>
          </w:p>
        </w:tc>
        <w:tc>
          <w:tcPr>
            <w:tcW w:w="5386" w:type="dxa"/>
          </w:tcPr>
          <w:p w14:paraId="401CD6A3" w14:textId="41BD5994" w:rsidR="00B76935" w:rsidRPr="004E4CEB" w:rsidRDefault="00B76935" w:rsidP="00612ADD">
            <w:pPr>
              <w:rPr>
                <w:sz w:val="20"/>
                <w:lang w:val="en-GB" w:eastAsia="es-ES"/>
              </w:rPr>
            </w:pPr>
            <w:r w:rsidRPr="004E4CEB">
              <w:rPr>
                <w:sz w:val="20"/>
                <w:lang w:val="en-US"/>
              </w:rPr>
              <w:t>This</w:t>
            </w:r>
            <w:r w:rsidR="0063392C">
              <w:rPr>
                <w:sz w:val="20"/>
                <w:lang w:val="en-US"/>
              </w:rPr>
              <w:t xml:space="preserve"> is a</w:t>
            </w:r>
            <w:r w:rsidRPr="004E4CEB">
              <w:rPr>
                <w:sz w:val="20"/>
                <w:lang w:val="en-US"/>
              </w:rPr>
              <w:t xml:space="preserve"> unique ID of the internal scenario. This should be consistent across different reporting periods. This is a </w:t>
            </w:r>
            <w:r w:rsidR="00612ADD">
              <w:rPr>
                <w:sz w:val="20"/>
                <w:lang w:val="en-US"/>
              </w:rPr>
              <w:t>numeric</w:t>
            </w:r>
            <w:r w:rsidR="00612ADD" w:rsidRPr="004E4CEB">
              <w:rPr>
                <w:sz w:val="20"/>
                <w:lang w:val="en-US"/>
              </w:rPr>
              <w:t xml:space="preserve"> </w:t>
            </w:r>
            <w:r w:rsidRPr="004E4CEB">
              <w:rPr>
                <w:sz w:val="20"/>
                <w:lang w:val="en-US"/>
              </w:rPr>
              <w:t>field.</w:t>
            </w:r>
          </w:p>
        </w:tc>
      </w:tr>
      <w:tr w:rsidR="00612ADD" w:rsidRPr="004E4CEB" w14:paraId="089F234C" w14:textId="77777777" w:rsidTr="000427D8">
        <w:trPr>
          <w:trHeight w:val="735"/>
        </w:trPr>
        <w:tc>
          <w:tcPr>
            <w:tcW w:w="1668" w:type="dxa"/>
          </w:tcPr>
          <w:p w14:paraId="1472CEDB" w14:textId="6FF78572" w:rsidR="00612ADD" w:rsidRPr="004E4CEB" w:rsidRDefault="00612ADD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OP_MAP_XXX_R1_C</w:t>
            </w:r>
            <w:r>
              <w:rPr>
                <w:sz w:val="20"/>
              </w:rPr>
              <w:t>3</w:t>
            </w:r>
          </w:p>
          <w:p w14:paraId="137669E0" w14:textId="77777777" w:rsidR="00612ADD" w:rsidRPr="004E4CEB" w:rsidRDefault="00612ADD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44991C14" w14:textId="332B8972" w:rsidR="00612ADD" w:rsidRPr="004E4CEB" w:rsidRDefault="00612ADD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OP_MAP_XXX_RXX_C</w:t>
            </w:r>
            <w:r>
              <w:rPr>
                <w:sz w:val="20"/>
              </w:rPr>
              <w:t>3</w:t>
            </w:r>
          </w:p>
        </w:tc>
        <w:tc>
          <w:tcPr>
            <w:tcW w:w="2126" w:type="dxa"/>
          </w:tcPr>
          <w:p w14:paraId="40D709C0" w14:textId="778FABC4" w:rsidR="00612ADD" w:rsidRPr="004E4CEB" w:rsidRDefault="00750FEB" w:rsidP="00776862">
            <w:pPr>
              <w:jc w:val="left"/>
              <w:rPr>
                <w:sz w:val="20"/>
              </w:rPr>
            </w:pPr>
            <w:r>
              <w:rPr>
                <w:sz w:val="20"/>
              </w:rPr>
              <w:t>U</w:t>
            </w:r>
            <w:r w:rsidR="00612ADD" w:rsidRPr="00612ADD">
              <w:rPr>
                <w:sz w:val="20"/>
              </w:rPr>
              <w:t xml:space="preserve">nique ID of </w:t>
            </w:r>
            <w:r w:rsidR="00776862">
              <w:rPr>
                <w:sz w:val="20"/>
              </w:rPr>
              <w:t>parent</w:t>
            </w:r>
            <w:r w:rsidR="00612ADD" w:rsidRPr="00612ADD">
              <w:rPr>
                <w:sz w:val="20"/>
              </w:rPr>
              <w:t xml:space="preserve"> level.</w:t>
            </w:r>
          </w:p>
        </w:tc>
        <w:tc>
          <w:tcPr>
            <w:tcW w:w="5386" w:type="dxa"/>
          </w:tcPr>
          <w:p w14:paraId="7DDB932B" w14:textId="4657339B" w:rsidR="00612ADD" w:rsidRDefault="00057AB0" w:rsidP="00612ADD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This</w:t>
            </w:r>
            <w:r>
              <w:rPr>
                <w:sz w:val="20"/>
                <w:lang w:val="en-US"/>
              </w:rPr>
              <w:t xml:space="preserve"> is a</w:t>
            </w:r>
            <w:r w:rsidRPr="004E4CEB">
              <w:rPr>
                <w:sz w:val="20"/>
                <w:lang w:val="en-US"/>
              </w:rPr>
              <w:t xml:space="preserve"> unique ID of the </w:t>
            </w:r>
            <w:r w:rsidR="00750FEB">
              <w:rPr>
                <w:sz w:val="20"/>
                <w:lang w:val="en-US"/>
              </w:rPr>
              <w:t xml:space="preserve">immediate </w:t>
            </w:r>
            <w:r w:rsidR="00776862">
              <w:rPr>
                <w:sz w:val="20"/>
                <w:lang w:val="en-US"/>
              </w:rPr>
              <w:t>parent</w:t>
            </w:r>
            <w:r>
              <w:rPr>
                <w:sz w:val="20"/>
                <w:lang w:val="en-US"/>
              </w:rPr>
              <w:t xml:space="preserve"> </w:t>
            </w:r>
            <w:r w:rsidRPr="004E4CEB">
              <w:rPr>
                <w:sz w:val="20"/>
                <w:lang w:val="en-US"/>
              </w:rPr>
              <w:t xml:space="preserve">internal scenario. This should be consistent across different reporting periods. </w:t>
            </w:r>
            <w:r w:rsidR="00612ADD" w:rsidRPr="004E4CEB">
              <w:rPr>
                <w:sz w:val="20"/>
                <w:lang w:val="en-US"/>
              </w:rPr>
              <w:t xml:space="preserve">This is a </w:t>
            </w:r>
            <w:r w:rsidR="00612ADD">
              <w:rPr>
                <w:sz w:val="20"/>
                <w:lang w:val="en-US"/>
              </w:rPr>
              <w:t>numeric</w:t>
            </w:r>
            <w:r w:rsidR="00612ADD" w:rsidRPr="004E4CEB">
              <w:rPr>
                <w:sz w:val="20"/>
                <w:lang w:val="en-US"/>
              </w:rPr>
              <w:t xml:space="preserve"> field.</w:t>
            </w:r>
          </w:p>
          <w:p w14:paraId="149DE677" w14:textId="2C7D9ADC" w:rsidR="00612ADD" w:rsidRPr="004E4CEB" w:rsidRDefault="00612ADD" w:rsidP="00612ADD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See example above.</w:t>
            </w:r>
          </w:p>
        </w:tc>
      </w:tr>
      <w:tr w:rsidR="009B35EF" w:rsidRPr="004E4CEB" w14:paraId="3FD33C71" w14:textId="77777777" w:rsidTr="000427D8">
        <w:trPr>
          <w:trHeight w:val="735"/>
        </w:trPr>
        <w:tc>
          <w:tcPr>
            <w:tcW w:w="1668" w:type="dxa"/>
          </w:tcPr>
          <w:p w14:paraId="4B9D520F" w14:textId="1A638EC9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OP_MAP_XXX_R1_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4</w:t>
            </w:r>
          </w:p>
          <w:p w14:paraId="6D61E0AA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5EF4C414" w14:textId="786987D0" w:rsidR="009B35EF" w:rsidRPr="004E4CEB" w:rsidRDefault="009B35EF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OP_MAP_XXX_RXX_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4</w:t>
            </w:r>
          </w:p>
        </w:tc>
        <w:tc>
          <w:tcPr>
            <w:tcW w:w="2126" w:type="dxa"/>
          </w:tcPr>
          <w:p w14:paraId="6F1329E0" w14:textId="41C90067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Basel L1 classification mapping</w:t>
            </w:r>
          </w:p>
        </w:tc>
        <w:tc>
          <w:tcPr>
            <w:tcW w:w="5386" w:type="dxa"/>
          </w:tcPr>
          <w:p w14:paraId="2BCE9136" w14:textId="337741E3" w:rsidR="00612ADD" w:rsidRDefault="00612ADD" w:rsidP="000427D8">
            <w:pPr>
              <w:rPr>
                <w:sz w:val="20"/>
                <w:lang w:val="en-GB" w:eastAsia="es-ES"/>
              </w:rPr>
            </w:pPr>
          </w:p>
          <w:p w14:paraId="4D3A64D2" w14:textId="616D5F9F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  <w:lang w:val="en-GB" w:eastAsia="es-ES"/>
              </w:rPr>
              <w:t xml:space="preserve">For completion by undertakings which answer ‘Yes’ in </w:t>
            </w:r>
            <w:r w:rsidRPr="004E4CEB">
              <w:rPr>
                <w:sz w:val="20"/>
              </w:rPr>
              <w:t>OP_QUE_XXX_R1_C1</w:t>
            </w:r>
            <w:r w:rsidR="00612ADD">
              <w:rPr>
                <w:sz w:val="20"/>
              </w:rPr>
              <w:t xml:space="preserve"> or </w:t>
            </w:r>
            <w:r w:rsidR="00776862">
              <w:rPr>
                <w:sz w:val="20"/>
              </w:rPr>
              <w:t>the mapping to Basel L1</w:t>
            </w:r>
            <w:r w:rsidR="00612ADD">
              <w:rPr>
                <w:sz w:val="20"/>
              </w:rPr>
              <w:t xml:space="preserve"> exists</w:t>
            </w:r>
            <w:r w:rsidRPr="004E4CEB">
              <w:rPr>
                <w:sz w:val="20"/>
              </w:rPr>
              <w:t>.</w:t>
            </w:r>
            <w:r w:rsidR="00AF4D70">
              <w:rPr>
                <w:sz w:val="20"/>
              </w:rPr>
              <w:t xml:space="preserve"> Field should be empty if the scenario is higher than level 2 in the classification.</w:t>
            </w:r>
          </w:p>
          <w:p w14:paraId="543A9C3D" w14:textId="77777777" w:rsidR="009B35EF" w:rsidRPr="005C494E" w:rsidRDefault="009B35EF" w:rsidP="000427D8">
            <w:pPr>
              <w:rPr>
                <w:sz w:val="20"/>
              </w:rPr>
            </w:pPr>
          </w:p>
          <w:p w14:paraId="6788A2BB" w14:textId="77777777" w:rsidR="009B35EF" w:rsidRPr="004E4CEB" w:rsidRDefault="009B35EF" w:rsidP="000427D8">
            <w:p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Elements in the drop down list:</w:t>
            </w:r>
          </w:p>
          <w:p w14:paraId="7FD7C036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Internal fraud</w:t>
            </w:r>
          </w:p>
          <w:p w14:paraId="12F5E77C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External fraud</w:t>
            </w:r>
          </w:p>
          <w:p w14:paraId="7EBE29EE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Employment practices and workspace safety</w:t>
            </w:r>
          </w:p>
          <w:p w14:paraId="605B7DE7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Damage to physical assets</w:t>
            </w:r>
          </w:p>
          <w:p w14:paraId="30F9FD3B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Business disruption and system failures</w:t>
            </w:r>
          </w:p>
          <w:p w14:paraId="01749302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Clients, products and business practices</w:t>
            </w:r>
          </w:p>
          <w:p w14:paraId="70386DA5" w14:textId="77777777" w:rsidR="009B35EF" w:rsidRPr="004E4CEB" w:rsidRDefault="009B35EF" w:rsidP="000427D8">
            <w:pPr>
              <w:pStyle w:val="ListParagraph"/>
              <w:numPr>
                <w:ilvl w:val="0"/>
                <w:numId w:val="11"/>
              </w:numPr>
              <w:rPr>
                <w:sz w:val="20"/>
                <w:lang w:val="en-GB"/>
              </w:rPr>
            </w:pPr>
            <w:r w:rsidRPr="004E4CEB">
              <w:rPr>
                <w:b/>
                <w:sz w:val="20"/>
                <w:lang w:val="en-GB"/>
              </w:rPr>
              <w:t>Execution, delivery and process management</w:t>
            </w:r>
          </w:p>
        </w:tc>
      </w:tr>
      <w:tr w:rsidR="009B35EF" w:rsidRPr="004E4CEB" w14:paraId="0F1C6EE7" w14:textId="77777777" w:rsidTr="000427D8">
        <w:trPr>
          <w:trHeight w:val="735"/>
        </w:trPr>
        <w:tc>
          <w:tcPr>
            <w:tcW w:w="1668" w:type="dxa"/>
          </w:tcPr>
          <w:p w14:paraId="25C296D7" w14:textId="3BFA3579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OP_MAP_XXX_R1_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5</w:t>
            </w:r>
          </w:p>
          <w:p w14:paraId="35217D23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60CA890C" w14:textId="08E238AE" w:rsidR="009B35EF" w:rsidRPr="004E4CEB" w:rsidRDefault="009B35EF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OP_MAP_XXX_RXX_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5</w:t>
            </w:r>
          </w:p>
        </w:tc>
        <w:tc>
          <w:tcPr>
            <w:tcW w:w="2126" w:type="dxa"/>
          </w:tcPr>
          <w:p w14:paraId="54F86953" w14:textId="3CED75A7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Basel L2 classification mapping</w:t>
            </w:r>
          </w:p>
        </w:tc>
        <w:tc>
          <w:tcPr>
            <w:tcW w:w="5386" w:type="dxa"/>
          </w:tcPr>
          <w:p w14:paraId="20DF95A5" w14:textId="69A516E4" w:rsidR="00612ADD" w:rsidRDefault="00612ADD" w:rsidP="00612ADD">
            <w:pPr>
              <w:rPr>
                <w:sz w:val="20"/>
                <w:lang w:val="en-GB" w:eastAsia="es-ES"/>
              </w:rPr>
            </w:pPr>
          </w:p>
          <w:p w14:paraId="58ED786E" w14:textId="7D6C250E" w:rsidR="009B35EF" w:rsidRPr="005C494E" w:rsidRDefault="009B35EF" w:rsidP="000427D8">
            <w:pPr>
              <w:rPr>
                <w:sz w:val="20"/>
              </w:rPr>
            </w:pPr>
            <w:r w:rsidRPr="004E4CEB">
              <w:rPr>
                <w:sz w:val="20"/>
                <w:lang w:val="en-GB" w:eastAsia="es-ES"/>
              </w:rPr>
              <w:t xml:space="preserve">For completion by undertakings which answer ‘Yes’ in </w:t>
            </w:r>
            <w:r w:rsidRPr="004E4CEB">
              <w:rPr>
                <w:sz w:val="20"/>
              </w:rPr>
              <w:t>OP_QUE_XXX_R2_C1</w:t>
            </w:r>
            <w:r w:rsidR="00612ADD">
              <w:rPr>
                <w:sz w:val="20"/>
              </w:rPr>
              <w:t xml:space="preserve"> or </w:t>
            </w:r>
            <w:r w:rsidR="00776862">
              <w:rPr>
                <w:sz w:val="20"/>
              </w:rPr>
              <w:t>the mapping to Basel L2</w:t>
            </w:r>
            <w:r w:rsidR="00612ADD">
              <w:rPr>
                <w:sz w:val="20"/>
              </w:rPr>
              <w:t xml:space="preserve"> exists</w:t>
            </w:r>
            <w:r w:rsidRPr="004E4CEB">
              <w:rPr>
                <w:sz w:val="20"/>
              </w:rPr>
              <w:t>.</w:t>
            </w:r>
            <w:r w:rsidRPr="004E4CEB">
              <w:rPr>
                <w:sz w:val="20"/>
                <w:lang w:val="en-GB" w:eastAsia="es-ES"/>
              </w:rPr>
              <w:t xml:space="preserve"> </w:t>
            </w:r>
            <w:r w:rsidR="001F141C">
              <w:rPr>
                <w:sz w:val="20"/>
              </w:rPr>
              <w:t>Field should be empty if the scenario is higher than level 2 in the classification.</w:t>
            </w:r>
          </w:p>
          <w:p w14:paraId="293207A7" w14:textId="77777777" w:rsidR="009B35EF" w:rsidRPr="004E4CEB" w:rsidRDefault="009B35EF" w:rsidP="000427D8">
            <w:pPr>
              <w:rPr>
                <w:sz w:val="20"/>
                <w:lang w:val="en-GB"/>
              </w:rPr>
            </w:pPr>
          </w:p>
          <w:p w14:paraId="7F5C5686" w14:textId="0814287B" w:rsidR="009B35EF" w:rsidRPr="004E4CEB" w:rsidRDefault="009B35EF" w:rsidP="000427D8">
            <w:p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 xml:space="preserve">The occurrence “Other” can be used in case the risk could be classified in a </w:t>
            </w:r>
            <w:r w:rsidR="009E758E">
              <w:rPr>
                <w:sz w:val="20"/>
                <w:lang w:val="en-GB"/>
              </w:rPr>
              <w:t>L</w:t>
            </w:r>
            <w:r w:rsidRPr="004E4CEB">
              <w:rPr>
                <w:sz w:val="20"/>
                <w:lang w:val="en-GB"/>
              </w:rPr>
              <w:t xml:space="preserve">evel 1 Basel category but there is not a </w:t>
            </w:r>
            <w:r w:rsidR="009E758E">
              <w:rPr>
                <w:sz w:val="20"/>
                <w:lang w:val="en-GB"/>
              </w:rPr>
              <w:t>L</w:t>
            </w:r>
            <w:r w:rsidRPr="004E4CEB">
              <w:rPr>
                <w:sz w:val="20"/>
                <w:lang w:val="en-GB"/>
              </w:rPr>
              <w:t>evel 2 one.</w:t>
            </w:r>
          </w:p>
          <w:p w14:paraId="1470501D" w14:textId="77777777" w:rsidR="009B35EF" w:rsidRPr="004E4CEB" w:rsidRDefault="009B35EF" w:rsidP="000427D8">
            <w:p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Elements in the drop down list:</w:t>
            </w:r>
          </w:p>
          <w:p w14:paraId="33BE1EB6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Internal fraud</w:t>
            </w:r>
          </w:p>
          <w:p w14:paraId="1FACEC1C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Unauthorized activity</w:t>
            </w:r>
          </w:p>
          <w:p w14:paraId="47EAA64B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Theft and fraud</w:t>
            </w:r>
          </w:p>
          <w:p w14:paraId="0FFA66F6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144CAB6F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External fraud</w:t>
            </w:r>
          </w:p>
          <w:p w14:paraId="5C59806A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Theft and fraud</w:t>
            </w:r>
          </w:p>
          <w:p w14:paraId="70A03A19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Systems security</w:t>
            </w:r>
          </w:p>
          <w:p w14:paraId="4DE1B7E2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67583B08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Employment practices and workspace safety</w:t>
            </w:r>
          </w:p>
          <w:p w14:paraId="3EDD8B41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Employee relations</w:t>
            </w:r>
          </w:p>
          <w:p w14:paraId="5434254A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Safe environment</w:t>
            </w:r>
          </w:p>
          <w:p w14:paraId="6F875834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lastRenderedPageBreak/>
              <w:t>Diversity and discrimination</w:t>
            </w:r>
          </w:p>
          <w:p w14:paraId="364FB84E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2B5E5417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Damage to physical assets</w:t>
            </w:r>
          </w:p>
          <w:p w14:paraId="5CCCC255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Disasters and other events</w:t>
            </w:r>
          </w:p>
          <w:p w14:paraId="364817C3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06C4685D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GB"/>
              </w:rPr>
            </w:pPr>
            <w:r w:rsidRPr="004E4CEB">
              <w:rPr>
                <w:sz w:val="20"/>
                <w:lang w:val="en-GB"/>
              </w:rPr>
              <w:t>Business disruption and system failures</w:t>
            </w:r>
          </w:p>
          <w:p w14:paraId="37E46711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Systems</w:t>
            </w:r>
          </w:p>
          <w:p w14:paraId="5052C241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11F3119B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US"/>
              </w:rPr>
            </w:pPr>
            <w:r w:rsidRPr="004E4CEB">
              <w:rPr>
                <w:sz w:val="20"/>
                <w:lang w:val="en-GB"/>
              </w:rPr>
              <w:t>Clients, products and business practices</w:t>
            </w:r>
          </w:p>
          <w:p w14:paraId="34F7208E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Suitability, disclosure and fiduciary</w:t>
            </w:r>
          </w:p>
          <w:p w14:paraId="07A8B8BD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Improper business or market practices</w:t>
            </w:r>
          </w:p>
          <w:p w14:paraId="6EC3D345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Product flaws</w:t>
            </w:r>
          </w:p>
          <w:p w14:paraId="698CE923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Selection, sponsorship and exposure</w:t>
            </w:r>
          </w:p>
          <w:p w14:paraId="5DD8D348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Advisory activities</w:t>
            </w:r>
          </w:p>
          <w:p w14:paraId="622E5CC0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  <w:p w14:paraId="27A92BA9" w14:textId="77777777" w:rsidR="009B35EF" w:rsidRPr="004E4CEB" w:rsidRDefault="009B35EF" w:rsidP="000427D8">
            <w:pPr>
              <w:pStyle w:val="ListParagraph"/>
              <w:numPr>
                <w:ilvl w:val="0"/>
                <w:numId w:val="12"/>
              </w:numPr>
              <w:rPr>
                <w:sz w:val="20"/>
                <w:lang w:val="en-US"/>
              </w:rPr>
            </w:pPr>
            <w:r w:rsidRPr="004E4CEB">
              <w:rPr>
                <w:sz w:val="20"/>
                <w:lang w:val="en-GB"/>
              </w:rPr>
              <w:t>Execution, delivery and process management</w:t>
            </w:r>
          </w:p>
          <w:p w14:paraId="1FFCBA2E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Transaction capture, execution and maintenance</w:t>
            </w:r>
          </w:p>
          <w:p w14:paraId="3D7F2AA3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Monitoring and reporting</w:t>
            </w:r>
          </w:p>
          <w:p w14:paraId="52938455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Customer intake and documentation</w:t>
            </w:r>
          </w:p>
          <w:p w14:paraId="004897E9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Customer / client account management</w:t>
            </w:r>
          </w:p>
          <w:p w14:paraId="7BF86FC0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Trade counterparties</w:t>
            </w:r>
          </w:p>
          <w:p w14:paraId="04E41C1B" w14:textId="77777777" w:rsidR="009B35EF" w:rsidRPr="004E4CEB" w:rsidRDefault="009B35EF" w:rsidP="000427D8">
            <w:pPr>
              <w:ind w:left="1026"/>
              <w:rPr>
                <w:b/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Vendors and suppliers</w:t>
            </w:r>
          </w:p>
          <w:p w14:paraId="3E16E358" w14:textId="77777777" w:rsidR="009B35EF" w:rsidRPr="004E4CEB" w:rsidRDefault="009B35EF" w:rsidP="000427D8">
            <w:pPr>
              <w:pStyle w:val="ListParagraph"/>
              <w:ind w:left="1026"/>
              <w:rPr>
                <w:sz w:val="20"/>
                <w:lang w:val="en-US"/>
              </w:rPr>
            </w:pPr>
            <w:r w:rsidRPr="004E4CEB">
              <w:rPr>
                <w:b/>
                <w:sz w:val="20"/>
                <w:lang w:val="en-US"/>
              </w:rPr>
              <w:t>Other</w:t>
            </w:r>
          </w:p>
        </w:tc>
      </w:tr>
      <w:tr w:rsidR="009B35EF" w:rsidRPr="004E4CEB" w14:paraId="2E6E3E99" w14:textId="77777777" w:rsidTr="000427D8">
        <w:trPr>
          <w:trHeight w:val="435"/>
        </w:trPr>
        <w:tc>
          <w:tcPr>
            <w:tcW w:w="1668" w:type="dxa"/>
          </w:tcPr>
          <w:p w14:paraId="026D9A0A" w14:textId="38D6906F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lastRenderedPageBreak/>
              <w:t>OP_DES_XXX_R1_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6</w:t>
            </w:r>
          </w:p>
          <w:p w14:paraId="41BB2841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44042F6A" w14:textId="1A6FC007" w:rsidR="009B35EF" w:rsidRPr="004E4CEB" w:rsidRDefault="009B35EF" w:rsidP="00612ADD">
            <w:pPr>
              <w:rPr>
                <w:sz w:val="20"/>
              </w:rPr>
            </w:pPr>
            <w:r w:rsidRPr="004E4CEB">
              <w:rPr>
                <w:sz w:val="20"/>
              </w:rPr>
              <w:t>OP_DES_XXX_RXX_</w:t>
            </w:r>
            <w:r w:rsidR="00612ADD" w:rsidRPr="004E4CEB">
              <w:rPr>
                <w:sz w:val="20"/>
              </w:rPr>
              <w:t>C</w:t>
            </w:r>
            <w:r w:rsidR="00612ADD">
              <w:rPr>
                <w:sz w:val="20"/>
              </w:rPr>
              <w:t>6</w:t>
            </w:r>
          </w:p>
        </w:tc>
        <w:tc>
          <w:tcPr>
            <w:tcW w:w="2126" w:type="dxa"/>
          </w:tcPr>
          <w:p w14:paraId="6F9BD244" w14:textId="77777777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Probability Distribution</w:t>
            </w:r>
          </w:p>
        </w:tc>
        <w:tc>
          <w:tcPr>
            <w:tcW w:w="5386" w:type="dxa"/>
          </w:tcPr>
          <w:p w14:paraId="47DE75F6" w14:textId="77777777" w:rsidR="009B35EF" w:rsidRPr="004E4CEB" w:rsidRDefault="009B35EF" w:rsidP="000427D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Elements in the drop-down list:</w:t>
            </w:r>
          </w:p>
          <w:p w14:paraId="3C603090" w14:textId="77777777" w:rsidR="009B35EF" w:rsidRPr="004E4CEB" w:rsidRDefault="009B35EF" w:rsidP="000427D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14:paraId="5133E81E" w14:textId="77777777" w:rsidR="009B35EF" w:rsidRPr="004E4CEB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Poisson-lognormal</w:t>
            </w:r>
          </w:p>
          <w:p w14:paraId="4F5C9EA4" w14:textId="77777777" w:rsidR="009B35EF" w:rsidRPr="004E4CEB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Lognormal</w:t>
            </w:r>
          </w:p>
          <w:p w14:paraId="2F3EC7F4" w14:textId="77777777" w:rsidR="009B35EF" w:rsidRPr="004E4CEB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Poisson-Pareto</w:t>
            </w:r>
          </w:p>
          <w:p w14:paraId="1689B555" w14:textId="77777777" w:rsidR="009B35EF" w:rsidRPr="004E4CEB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Empirical</w:t>
            </w:r>
          </w:p>
          <w:p w14:paraId="3BFE419D" w14:textId="77777777" w:rsidR="009B35EF" w:rsidRPr="004E4CEB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Pareto</w:t>
            </w:r>
          </w:p>
          <w:p w14:paraId="78C3F2F9" w14:textId="77777777" w:rsidR="009B35EF" w:rsidRDefault="009B35EF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Other, please specify</w:t>
            </w:r>
          </w:p>
          <w:p w14:paraId="341121DF" w14:textId="406FF512" w:rsidR="00B75197" w:rsidRDefault="00B75197" w:rsidP="000427D8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</w:t>
            </w:r>
            <w:r w:rsidRPr="005D741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btained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by </w:t>
            </w:r>
            <w:r w:rsidRPr="005D741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aggregation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of lower levels</w:t>
            </w:r>
          </w:p>
          <w:p w14:paraId="5D3209A1" w14:textId="77777777" w:rsidR="00612ADD" w:rsidRDefault="00612ADD" w:rsidP="00612AD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14:paraId="242805AB" w14:textId="7ABA9B7A" w:rsidR="00612ADD" w:rsidRPr="004E4CEB" w:rsidRDefault="00612ADD" w:rsidP="00057AB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Item 1 to 6 to be used in case the probability distribution is qua</w:t>
            </w:r>
            <w:r w:rsidR="00057AB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tified; item 7 in case the probability distribution is obtained by aggregation of lower level </w:t>
            </w:r>
            <w:r w:rsidR="00057AB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distributions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</w:tc>
      </w:tr>
      <w:tr w:rsidR="009B35EF" w:rsidRPr="004E4CEB" w14:paraId="76EE60C8" w14:textId="77777777" w:rsidTr="000427D8">
        <w:trPr>
          <w:trHeight w:val="435"/>
        </w:trPr>
        <w:tc>
          <w:tcPr>
            <w:tcW w:w="1668" w:type="dxa"/>
          </w:tcPr>
          <w:p w14:paraId="56644660" w14:textId="4C268DE1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OP_SCR_XXX_R1_</w:t>
            </w:r>
            <w:r w:rsidR="00CD664C" w:rsidRPr="004E4CEB">
              <w:rPr>
                <w:sz w:val="20"/>
              </w:rPr>
              <w:t>C</w:t>
            </w:r>
            <w:r w:rsidR="00CD664C">
              <w:rPr>
                <w:sz w:val="20"/>
              </w:rPr>
              <w:t>7</w:t>
            </w:r>
          </w:p>
          <w:p w14:paraId="5FECC610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197730F3" w14:textId="7E1DD98F" w:rsidR="009B35EF" w:rsidRPr="004E4CEB" w:rsidRDefault="009B35EF" w:rsidP="00CD664C">
            <w:pPr>
              <w:rPr>
                <w:sz w:val="20"/>
              </w:rPr>
            </w:pPr>
            <w:r w:rsidRPr="004E4CEB">
              <w:rPr>
                <w:sz w:val="20"/>
              </w:rPr>
              <w:t>OP_SCR_XXX_RXX_</w:t>
            </w:r>
            <w:r w:rsidR="00CD664C" w:rsidRPr="004E4CEB">
              <w:rPr>
                <w:sz w:val="20"/>
              </w:rPr>
              <w:t>C</w:t>
            </w:r>
            <w:r w:rsidR="00CD664C">
              <w:rPr>
                <w:sz w:val="20"/>
              </w:rPr>
              <w:t>7</w:t>
            </w:r>
          </w:p>
        </w:tc>
        <w:tc>
          <w:tcPr>
            <w:tcW w:w="2126" w:type="dxa"/>
          </w:tcPr>
          <w:p w14:paraId="0C9DABA7" w14:textId="77777777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Solvency Capital Requirement</w:t>
            </w:r>
          </w:p>
        </w:tc>
        <w:tc>
          <w:tcPr>
            <w:tcW w:w="5386" w:type="dxa"/>
          </w:tcPr>
          <w:p w14:paraId="17CEE330" w14:textId="0BDB1967" w:rsidR="009B35EF" w:rsidRPr="004E4CEB" w:rsidRDefault="009B35EF" w:rsidP="000C5594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4C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Solvency capital requirement </w:t>
            </w:r>
            <w:r w:rsidR="000C55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  <w:r w:rsidRPr="004E4C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r w:rsidR="000C55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risk mitigating</w:t>
            </w:r>
            <w:r w:rsidRPr="004E4C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contracts per scenario.</w:t>
            </w:r>
          </w:p>
        </w:tc>
      </w:tr>
      <w:tr w:rsidR="009B35EF" w:rsidRPr="004E4CEB" w14:paraId="7342A360" w14:textId="77777777" w:rsidTr="000427D8">
        <w:trPr>
          <w:trHeight w:val="697"/>
        </w:trPr>
        <w:tc>
          <w:tcPr>
            <w:tcW w:w="1668" w:type="dxa"/>
          </w:tcPr>
          <w:p w14:paraId="3203C946" w14:textId="5A304792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OP_PCT_XXX_R1_</w:t>
            </w:r>
            <w:r w:rsidR="00CD664C" w:rsidRPr="004E4CEB">
              <w:rPr>
                <w:sz w:val="20"/>
              </w:rPr>
              <w:t>C</w:t>
            </w:r>
            <w:r w:rsidR="00CD664C">
              <w:rPr>
                <w:sz w:val="20"/>
              </w:rPr>
              <w:t>8</w:t>
            </w:r>
          </w:p>
          <w:p w14:paraId="564D5C91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To</w:t>
            </w:r>
          </w:p>
          <w:p w14:paraId="70E51438" w14:textId="0936995D" w:rsidR="009B35EF" w:rsidRPr="004E4CEB" w:rsidRDefault="009B35EF" w:rsidP="00CD664C">
            <w:pPr>
              <w:rPr>
                <w:sz w:val="20"/>
              </w:rPr>
            </w:pPr>
            <w:r w:rsidRPr="004E4CEB">
              <w:rPr>
                <w:sz w:val="20"/>
              </w:rPr>
              <w:t>OP_PCT_XXX_RXX_</w:t>
            </w:r>
            <w:r w:rsidR="00CD664C" w:rsidRPr="004E4CEB">
              <w:rPr>
                <w:sz w:val="20"/>
              </w:rPr>
              <w:t>C</w:t>
            </w:r>
            <w:r w:rsidR="00CD664C">
              <w:rPr>
                <w:sz w:val="20"/>
              </w:rPr>
              <w:t>20</w:t>
            </w:r>
          </w:p>
        </w:tc>
        <w:tc>
          <w:tcPr>
            <w:tcW w:w="2126" w:type="dxa"/>
          </w:tcPr>
          <w:p w14:paraId="1F45979D" w14:textId="12E48639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Percentiles</w:t>
            </w:r>
            <w:r w:rsidR="00AB6226" w:rsidRPr="004E4CEB">
              <w:rPr>
                <w:sz w:val="20"/>
              </w:rPr>
              <w:t xml:space="preserve"> (see Annex XII for the required percentiles)</w:t>
            </w:r>
          </w:p>
        </w:tc>
        <w:tc>
          <w:tcPr>
            <w:tcW w:w="5386" w:type="dxa"/>
          </w:tcPr>
          <w:p w14:paraId="4BD631D5" w14:textId="6A3C202A" w:rsidR="009B35EF" w:rsidRPr="004E4CEB" w:rsidRDefault="009B35EF" w:rsidP="000427D8">
            <w:pPr>
              <w:jc w:val="left"/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 xml:space="preserve">Percentiles of the loss distribution (losses corresponds to the right tail) </w:t>
            </w:r>
            <w:r w:rsidR="00707B4A">
              <w:rPr>
                <w:sz w:val="20"/>
                <w:lang w:val="en-US"/>
              </w:rPr>
              <w:t>net</w:t>
            </w:r>
            <w:r w:rsidR="00707B4A" w:rsidRPr="004E4CEB">
              <w:rPr>
                <w:sz w:val="20"/>
                <w:lang w:val="en-US"/>
              </w:rPr>
              <w:t xml:space="preserve"> of </w:t>
            </w:r>
            <w:r w:rsidR="00707B4A">
              <w:rPr>
                <w:sz w:val="20"/>
                <w:lang w:val="en-US"/>
              </w:rPr>
              <w:t>risk mitigating</w:t>
            </w:r>
            <w:r w:rsidR="00707B4A" w:rsidRPr="004E4CEB">
              <w:rPr>
                <w:sz w:val="20"/>
                <w:lang w:val="en-US"/>
              </w:rPr>
              <w:t xml:space="preserve"> contracts </w:t>
            </w:r>
            <w:r w:rsidRPr="004E4CEB">
              <w:rPr>
                <w:sz w:val="20"/>
                <w:lang w:val="en-US"/>
              </w:rPr>
              <w:t>per scenario.</w:t>
            </w:r>
          </w:p>
        </w:tc>
      </w:tr>
      <w:tr w:rsidR="009B35EF" w:rsidRPr="004E4CEB" w14:paraId="56349CA0" w14:textId="77777777" w:rsidTr="000427D8">
        <w:trPr>
          <w:trHeight w:val="924"/>
        </w:trPr>
        <w:tc>
          <w:tcPr>
            <w:tcW w:w="1668" w:type="dxa"/>
          </w:tcPr>
          <w:p w14:paraId="5E828266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OP_SCR_XXX_R1_C1</w:t>
            </w:r>
          </w:p>
        </w:tc>
        <w:tc>
          <w:tcPr>
            <w:tcW w:w="2126" w:type="dxa"/>
          </w:tcPr>
          <w:p w14:paraId="4FD16BE1" w14:textId="7DA43422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Total undiversified Level 2</w:t>
            </w:r>
          </w:p>
        </w:tc>
        <w:tc>
          <w:tcPr>
            <w:tcW w:w="5386" w:type="dxa"/>
          </w:tcPr>
          <w:p w14:paraId="30247500" w14:textId="1F70F54A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 xml:space="preserve">Sum of </w:t>
            </w:r>
            <w:r w:rsidR="00302771">
              <w:rPr>
                <w:sz w:val="20"/>
                <w:lang w:val="en-US"/>
              </w:rPr>
              <w:t>L</w:t>
            </w:r>
            <w:r w:rsidRPr="004E4CEB">
              <w:rPr>
                <w:sz w:val="20"/>
                <w:lang w:val="en-US"/>
              </w:rPr>
              <w:t>evel 2 capital requirements stand-alone contributions.</w:t>
            </w:r>
          </w:p>
          <w:p w14:paraId="01A947D0" w14:textId="77777777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Any lower aggregation level should be already considered.</w:t>
            </w:r>
          </w:p>
        </w:tc>
      </w:tr>
      <w:tr w:rsidR="009B35EF" w:rsidRPr="004E4CEB" w14:paraId="2D9BD916" w14:textId="77777777" w:rsidTr="000427D8">
        <w:trPr>
          <w:trHeight w:val="924"/>
        </w:trPr>
        <w:tc>
          <w:tcPr>
            <w:tcW w:w="1668" w:type="dxa"/>
          </w:tcPr>
          <w:p w14:paraId="3B698A75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OP_SCR_XXX_R2_C1</w:t>
            </w:r>
          </w:p>
        </w:tc>
        <w:tc>
          <w:tcPr>
            <w:tcW w:w="2126" w:type="dxa"/>
          </w:tcPr>
          <w:p w14:paraId="5AF171C2" w14:textId="5AF248F5" w:rsidR="009B35EF" w:rsidRPr="004E4CEB" w:rsidRDefault="009B35EF" w:rsidP="00525405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 xml:space="preserve">Sum of diversification inside </w:t>
            </w:r>
            <w:r w:rsidR="00B32A8F">
              <w:rPr>
                <w:sz w:val="20"/>
              </w:rPr>
              <w:t>L</w:t>
            </w:r>
            <w:r w:rsidRPr="004E4CEB">
              <w:rPr>
                <w:sz w:val="20"/>
              </w:rPr>
              <w:t>evel 2 items</w:t>
            </w:r>
          </w:p>
        </w:tc>
        <w:tc>
          <w:tcPr>
            <w:tcW w:w="5386" w:type="dxa"/>
          </w:tcPr>
          <w:p w14:paraId="752E610A" w14:textId="77777777" w:rsidR="00B75197" w:rsidRDefault="00B75197" w:rsidP="00B75197">
            <w:pPr>
              <w:rPr>
                <w:sz w:val="20"/>
              </w:rPr>
            </w:pPr>
            <w:r>
              <w:rPr>
                <w:sz w:val="20"/>
              </w:rPr>
              <w:t xml:space="preserve">Difference between the sum of undiversified leaf risks SCR and </w:t>
            </w:r>
            <w:r w:rsidRPr="004E4CEB">
              <w:rPr>
                <w:sz w:val="20"/>
              </w:rPr>
              <w:t>OP_SCR_XXX_R1_C1</w:t>
            </w:r>
            <w:r>
              <w:rPr>
                <w:sz w:val="20"/>
              </w:rPr>
              <w:t>.</w:t>
            </w:r>
          </w:p>
          <w:p w14:paraId="7BA615B6" w14:textId="15AFDE55" w:rsidR="009B35EF" w:rsidRPr="007E6D8F" w:rsidRDefault="00B75197" w:rsidP="00B75197">
            <w:pPr>
              <w:rPr>
                <w:sz w:val="20"/>
              </w:rPr>
            </w:pPr>
            <w:r>
              <w:rPr>
                <w:sz w:val="20"/>
              </w:rPr>
              <w:t xml:space="preserve">For example, if the lower level is </w:t>
            </w:r>
            <w:r w:rsidR="00CD664C">
              <w:rPr>
                <w:sz w:val="20"/>
              </w:rPr>
              <w:t>L</w:t>
            </w:r>
            <w:r>
              <w:rPr>
                <w:sz w:val="20"/>
              </w:rPr>
              <w:t xml:space="preserve">3 (the ones quantified with probability distributions), </w:t>
            </w:r>
            <w:r w:rsidR="00364E40">
              <w:rPr>
                <w:sz w:val="20"/>
              </w:rPr>
              <w:t>enter</w:t>
            </w:r>
            <w:r>
              <w:rPr>
                <w:sz w:val="20"/>
              </w:rPr>
              <w:t xml:space="preserve"> the difference between the sum of </w:t>
            </w:r>
            <w:r w:rsidR="00364E40">
              <w:rPr>
                <w:sz w:val="20"/>
              </w:rPr>
              <w:t>L</w:t>
            </w:r>
            <w:r>
              <w:rPr>
                <w:sz w:val="20"/>
              </w:rPr>
              <w:t xml:space="preserve">evel 3 and the sum of </w:t>
            </w:r>
            <w:r w:rsidR="00364E40">
              <w:rPr>
                <w:sz w:val="20"/>
              </w:rPr>
              <w:t>L</w:t>
            </w:r>
            <w:r>
              <w:rPr>
                <w:sz w:val="20"/>
              </w:rPr>
              <w:t>evel 2 (stand alone).</w:t>
            </w:r>
          </w:p>
        </w:tc>
      </w:tr>
      <w:tr w:rsidR="009B35EF" w:rsidRPr="004E4CEB" w14:paraId="6B088310" w14:textId="77777777" w:rsidTr="000427D8">
        <w:trPr>
          <w:trHeight w:val="924"/>
        </w:trPr>
        <w:tc>
          <w:tcPr>
            <w:tcW w:w="1668" w:type="dxa"/>
          </w:tcPr>
          <w:p w14:paraId="4EE3DF1B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OP_SCR_XXX_R3_C1</w:t>
            </w:r>
          </w:p>
        </w:tc>
        <w:tc>
          <w:tcPr>
            <w:tcW w:w="2126" w:type="dxa"/>
          </w:tcPr>
          <w:p w14:paraId="16F2FEE7" w14:textId="1E52A67B" w:rsidR="009B35EF" w:rsidRPr="004E4CEB" w:rsidRDefault="009B35EF" w:rsidP="000427D8">
            <w:pPr>
              <w:jc w:val="left"/>
              <w:rPr>
                <w:sz w:val="20"/>
              </w:rPr>
            </w:pPr>
            <w:r w:rsidRPr="004E4CEB">
              <w:rPr>
                <w:sz w:val="20"/>
              </w:rPr>
              <w:t>Total undiversified Level 1</w:t>
            </w:r>
          </w:p>
        </w:tc>
        <w:tc>
          <w:tcPr>
            <w:tcW w:w="5386" w:type="dxa"/>
          </w:tcPr>
          <w:p w14:paraId="0329B392" w14:textId="1526864C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 xml:space="preserve">Sum of </w:t>
            </w:r>
            <w:r w:rsidR="00525405">
              <w:rPr>
                <w:sz w:val="20"/>
                <w:lang w:val="en-US"/>
              </w:rPr>
              <w:t>L</w:t>
            </w:r>
            <w:r w:rsidRPr="004E4CEB">
              <w:rPr>
                <w:sz w:val="20"/>
                <w:lang w:val="en-US"/>
              </w:rPr>
              <w:t>evel 1 capital requirements stand-alone contributions</w:t>
            </w:r>
            <w:r w:rsidR="00057AB0">
              <w:rPr>
                <w:sz w:val="20"/>
                <w:lang w:val="en-US"/>
              </w:rPr>
              <w:t xml:space="preserve"> (if applicable, net</w:t>
            </w:r>
            <w:r w:rsidR="00057AB0" w:rsidRPr="004E4CEB">
              <w:rPr>
                <w:sz w:val="20"/>
                <w:lang w:val="en-US"/>
              </w:rPr>
              <w:t xml:space="preserve"> of </w:t>
            </w:r>
            <w:r w:rsidR="00057AB0">
              <w:rPr>
                <w:sz w:val="20"/>
                <w:lang w:val="en-US"/>
              </w:rPr>
              <w:t>risk mitigating</w:t>
            </w:r>
            <w:r w:rsidR="00057AB0" w:rsidRPr="004E4CEB">
              <w:rPr>
                <w:sz w:val="20"/>
                <w:lang w:val="en-US"/>
              </w:rPr>
              <w:t xml:space="preserve"> contracts</w:t>
            </w:r>
            <w:r w:rsidR="00057AB0">
              <w:rPr>
                <w:sz w:val="20"/>
                <w:lang w:val="en-US"/>
              </w:rPr>
              <w:t>)</w:t>
            </w:r>
            <w:r w:rsidRPr="004E4CEB">
              <w:rPr>
                <w:sz w:val="20"/>
                <w:lang w:val="en-US"/>
              </w:rPr>
              <w:t>.</w:t>
            </w:r>
          </w:p>
          <w:p w14:paraId="71DA9EBC" w14:textId="77777777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Any lower aggregation level should be already considered.</w:t>
            </w:r>
          </w:p>
        </w:tc>
      </w:tr>
      <w:tr w:rsidR="009B35EF" w:rsidRPr="004E4CEB" w14:paraId="12A2B354" w14:textId="77777777" w:rsidTr="000427D8">
        <w:trPr>
          <w:trHeight w:val="913"/>
        </w:trPr>
        <w:tc>
          <w:tcPr>
            <w:tcW w:w="1668" w:type="dxa"/>
          </w:tcPr>
          <w:p w14:paraId="4098FBD1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lastRenderedPageBreak/>
              <w:t>OP_SCR_XXX_R4_C1</w:t>
            </w:r>
          </w:p>
        </w:tc>
        <w:tc>
          <w:tcPr>
            <w:tcW w:w="2126" w:type="dxa"/>
          </w:tcPr>
          <w:p w14:paraId="48015645" w14:textId="34D3B1DD" w:rsidR="009B35EF" w:rsidRPr="004E4CEB" w:rsidRDefault="009B35EF" w:rsidP="00525405">
            <w:pPr>
              <w:jc w:val="left"/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Operational risk – diversification between Level 1 items</w:t>
            </w:r>
          </w:p>
        </w:tc>
        <w:tc>
          <w:tcPr>
            <w:tcW w:w="5386" w:type="dxa"/>
          </w:tcPr>
          <w:p w14:paraId="76576AA2" w14:textId="77777777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 xml:space="preserve">Difference of </w:t>
            </w:r>
            <w:r w:rsidRPr="004E4CEB">
              <w:rPr>
                <w:sz w:val="20"/>
              </w:rPr>
              <w:t xml:space="preserve">OP_SCR_XXX_R3_C1 </w:t>
            </w:r>
            <w:r w:rsidRPr="004E4CEB">
              <w:rPr>
                <w:sz w:val="20"/>
                <w:lang w:val="en-US"/>
              </w:rPr>
              <w:t xml:space="preserve">and </w:t>
            </w:r>
            <w:r w:rsidRPr="004E4CEB">
              <w:rPr>
                <w:sz w:val="20"/>
              </w:rPr>
              <w:t>OP_SCR_XXX_R5_C1</w:t>
            </w:r>
          </w:p>
        </w:tc>
      </w:tr>
      <w:tr w:rsidR="009B35EF" w:rsidRPr="004E4CEB" w14:paraId="4FF76C53" w14:textId="77777777" w:rsidTr="000427D8">
        <w:trPr>
          <w:trHeight w:val="945"/>
        </w:trPr>
        <w:tc>
          <w:tcPr>
            <w:tcW w:w="1668" w:type="dxa"/>
          </w:tcPr>
          <w:p w14:paraId="06C65557" w14:textId="77777777" w:rsidR="009B35EF" w:rsidRPr="004E4CEB" w:rsidRDefault="009B35EF" w:rsidP="000427D8">
            <w:pPr>
              <w:rPr>
                <w:sz w:val="20"/>
              </w:rPr>
            </w:pPr>
            <w:r w:rsidRPr="004E4CEB">
              <w:rPr>
                <w:sz w:val="20"/>
              </w:rPr>
              <w:t>OP_SCR_XXX_R5_C1</w:t>
            </w:r>
          </w:p>
        </w:tc>
        <w:tc>
          <w:tcPr>
            <w:tcW w:w="2126" w:type="dxa"/>
          </w:tcPr>
          <w:p w14:paraId="01C4AA73" w14:textId="77777777" w:rsidR="009B35EF" w:rsidRPr="004E4CEB" w:rsidRDefault="009B35EF" w:rsidP="000427D8">
            <w:pPr>
              <w:jc w:val="left"/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Operational risk - diversified</w:t>
            </w:r>
          </w:p>
        </w:tc>
        <w:tc>
          <w:tcPr>
            <w:tcW w:w="5386" w:type="dxa"/>
          </w:tcPr>
          <w:p w14:paraId="70CBA7F6" w14:textId="25B1036E" w:rsidR="009B35EF" w:rsidRPr="004E4CEB" w:rsidRDefault="009B35EF" w:rsidP="000427D8">
            <w:pPr>
              <w:rPr>
                <w:sz w:val="20"/>
                <w:lang w:val="en-US"/>
              </w:rPr>
            </w:pPr>
            <w:r w:rsidRPr="004E4CEB">
              <w:rPr>
                <w:sz w:val="20"/>
                <w:lang w:val="en-US"/>
              </w:rPr>
              <w:t>Diversified operational risk capital requirement</w:t>
            </w:r>
            <w:r w:rsidR="00057AB0">
              <w:rPr>
                <w:sz w:val="20"/>
                <w:lang w:val="en-US"/>
              </w:rPr>
              <w:t xml:space="preserve"> net</w:t>
            </w:r>
            <w:r w:rsidR="00057AB0" w:rsidRPr="004E4CEB">
              <w:rPr>
                <w:sz w:val="20"/>
                <w:lang w:val="en-US"/>
              </w:rPr>
              <w:t xml:space="preserve"> of </w:t>
            </w:r>
            <w:r w:rsidR="00057AB0">
              <w:rPr>
                <w:sz w:val="20"/>
                <w:lang w:val="en-US"/>
              </w:rPr>
              <w:t>risk mitigating</w:t>
            </w:r>
            <w:r w:rsidR="00057AB0" w:rsidRPr="004E4CEB">
              <w:rPr>
                <w:sz w:val="20"/>
                <w:lang w:val="en-US"/>
              </w:rPr>
              <w:t xml:space="preserve"> contracts</w:t>
            </w:r>
            <w:r w:rsidRPr="004E4CEB">
              <w:rPr>
                <w:sz w:val="20"/>
                <w:lang w:val="en-US"/>
              </w:rPr>
              <w:t>.</w:t>
            </w:r>
          </w:p>
        </w:tc>
      </w:tr>
    </w:tbl>
    <w:p w14:paraId="6203828B" w14:textId="77777777" w:rsidR="009B35EF" w:rsidRPr="004E4CEB" w:rsidRDefault="009B35EF" w:rsidP="009B35EF">
      <w:pPr>
        <w:rPr>
          <w:sz w:val="20"/>
          <w:lang w:val="en-GB"/>
        </w:rPr>
      </w:pPr>
    </w:p>
    <w:p w14:paraId="2AF54734" w14:textId="77777777" w:rsidR="007A15AF" w:rsidRPr="004E4CEB" w:rsidRDefault="007A15AF" w:rsidP="009B35EF">
      <w:pPr>
        <w:rPr>
          <w:sz w:val="20"/>
          <w:lang w:val="en-GB"/>
        </w:rPr>
      </w:pPr>
    </w:p>
    <w:sectPr w:rsidR="007A15AF" w:rsidRPr="004E4CEB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CB50" w14:textId="77777777" w:rsidR="007D09DC" w:rsidRDefault="007D09DC" w:rsidP="008D2D36">
      <w:r>
        <w:separator/>
      </w:r>
    </w:p>
  </w:endnote>
  <w:endnote w:type="continuationSeparator" w:id="0">
    <w:p w14:paraId="20104E52" w14:textId="77777777" w:rsidR="007D09DC" w:rsidRDefault="007D09DC" w:rsidP="008D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37169" w14:textId="77777777" w:rsidR="007D09DC" w:rsidRDefault="007D09DC" w:rsidP="008D2D36">
      <w:r>
        <w:separator/>
      </w:r>
    </w:p>
  </w:footnote>
  <w:footnote w:type="continuationSeparator" w:id="0">
    <w:p w14:paraId="1E9BD8EC" w14:textId="77777777" w:rsidR="007D09DC" w:rsidRDefault="007D09DC" w:rsidP="008D2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02B5"/>
    <w:multiLevelType w:val="hybridMultilevel"/>
    <w:tmpl w:val="8A5C59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C130A"/>
    <w:multiLevelType w:val="hybridMultilevel"/>
    <w:tmpl w:val="281E76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3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40A3499"/>
    <w:multiLevelType w:val="hybridMultilevel"/>
    <w:tmpl w:val="7F52F1A0"/>
    <w:lvl w:ilvl="0" w:tplc="6BFE58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499B1547"/>
    <w:multiLevelType w:val="hybridMultilevel"/>
    <w:tmpl w:val="69568A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66F53"/>
    <w:multiLevelType w:val="hybridMultilevel"/>
    <w:tmpl w:val="8A5C59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321BF"/>
    <w:multiLevelType w:val="hybridMultilevel"/>
    <w:tmpl w:val="45CCFCCA"/>
    <w:lvl w:ilvl="0" w:tplc="646ABB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75D43"/>
    <w:multiLevelType w:val="hybridMultilevel"/>
    <w:tmpl w:val="30A6E0E6"/>
    <w:lvl w:ilvl="0" w:tplc="BDA263CE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20A79"/>
    <w:multiLevelType w:val="hybridMultilevel"/>
    <w:tmpl w:val="FD78A6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  <w:num w:numId="11">
    <w:abstractNumId w:val="7"/>
  </w:num>
  <w:num w:numId="12">
    <w:abstractNumId w:val="0"/>
  </w:num>
  <w:num w:numId="13">
    <w:abstractNumId w:val="4"/>
  </w:num>
  <w:num w:numId="14">
    <w:abstractNumId w:val="10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22A85"/>
    <w:rsid w:val="00003D26"/>
    <w:rsid w:val="00004C69"/>
    <w:rsid w:val="0001153B"/>
    <w:rsid w:val="00011F3E"/>
    <w:rsid w:val="0001289D"/>
    <w:rsid w:val="0001723E"/>
    <w:rsid w:val="000211FB"/>
    <w:rsid w:val="000373DF"/>
    <w:rsid w:val="00053B26"/>
    <w:rsid w:val="0005525D"/>
    <w:rsid w:val="00055460"/>
    <w:rsid w:val="00057AB0"/>
    <w:rsid w:val="00060DFE"/>
    <w:rsid w:val="0006407E"/>
    <w:rsid w:val="00064A69"/>
    <w:rsid w:val="0006735D"/>
    <w:rsid w:val="00070037"/>
    <w:rsid w:val="000702F5"/>
    <w:rsid w:val="00070338"/>
    <w:rsid w:val="00071B16"/>
    <w:rsid w:val="00074EE7"/>
    <w:rsid w:val="00075455"/>
    <w:rsid w:val="000768BC"/>
    <w:rsid w:val="00077333"/>
    <w:rsid w:val="0008023B"/>
    <w:rsid w:val="00084FD7"/>
    <w:rsid w:val="00085E39"/>
    <w:rsid w:val="00087365"/>
    <w:rsid w:val="000928F4"/>
    <w:rsid w:val="000938B7"/>
    <w:rsid w:val="000A734B"/>
    <w:rsid w:val="000B0226"/>
    <w:rsid w:val="000B2490"/>
    <w:rsid w:val="000B2502"/>
    <w:rsid w:val="000B4CD3"/>
    <w:rsid w:val="000B664E"/>
    <w:rsid w:val="000B6A32"/>
    <w:rsid w:val="000C3476"/>
    <w:rsid w:val="000C3928"/>
    <w:rsid w:val="000C3E5C"/>
    <w:rsid w:val="000C5594"/>
    <w:rsid w:val="000D32DD"/>
    <w:rsid w:val="000D63A0"/>
    <w:rsid w:val="000E0FD3"/>
    <w:rsid w:val="000E2D20"/>
    <w:rsid w:val="000E35E7"/>
    <w:rsid w:val="000E42DE"/>
    <w:rsid w:val="000E4816"/>
    <w:rsid w:val="000E7D3E"/>
    <w:rsid w:val="001067B3"/>
    <w:rsid w:val="00110526"/>
    <w:rsid w:val="0011172B"/>
    <w:rsid w:val="00111B2B"/>
    <w:rsid w:val="00113798"/>
    <w:rsid w:val="00115A69"/>
    <w:rsid w:val="001167B1"/>
    <w:rsid w:val="00116814"/>
    <w:rsid w:val="00116897"/>
    <w:rsid w:val="00121A03"/>
    <w:rsid w:val="00131135"/>
    <w:rsid w:val="0013223C"/>
    <w:rsid w:val="001363A9"/>
    <w:rsid w:val="00137079"/>
    <w:rsid w:val="001415CB"/>
    <w:rsid w:val="00147380"/>
    <w:rsid w:val="0015063B"/>
    <w:rsid w:val="00155B20"/>
    <w:rsid w:val="00164734"/>
    <w:rsid w:val="00166AAF"/>
    <w:rsid w:val="00166CA4"/>
    <w:rsid w:val="0016734F"/>
    <w:rsid w:val="00167C37"/>
    <w:rsid w:val="00167F22"/>
    <w:rsid w:val="0017488C"/>
    <w:rsid w:val="00176EA4"/>
    <w:rsid w:val="00180C48"/>
    <w:rsid w:val="00184E29"/>
    <w:rsid w:val="00186D35"/>
    <w:rsid w:val="001963D7"/>
    <w:rsid w:val="00196AA8"/>
    <w:rsid w:val="00196EE4"/>
    <w:rsid w:val="00197153"/>
    <w:rsid w:val="001979E6"/>
    <w:rsid w:val="001A06D9"/>
    <w:rsid w:val="001A0A97"/>
    <w:rsid w:val="001A16A0"/>
    <w:rsid w:val="001A17EC"/>
    <w:rsid w:val="001A43CA"/>
    <w:rsid w:val="001A587B"/>
    <w:rsid w:val="001B2FCD"/>
    <w:rsid w:val="001B5CC1"/>
    <w:rsid w:val="001C4C03"/>
    <w:rsid w:val="001C73D4"/>
    <w:rsid w:val="001D7D45"/>
    <w:rsid w:val="001E26F5"/>
    <w:rsid w:val="001E5379"/>
    <w:rsid w:val="001E70DF"/>
    <w:rsid w:val="001E7BA3"/>
    <w:rsid w:val="001E7D18"/>
    <w:rsid w:val="001F10F3"/>
    <w:rsid w:val="001F141C"/>
    <w:rsid w:val="001F77EC"/>
    <w:rsid w:val="00200EE4"/>
    <w:rsid w:val="00201A25"/>
    <w:rsid w:val="00204297"/>
    <w:rsid w:val="00211714"/>
    <w:rsid w:val="00217A1F"/>
    <w:rsid w:val="002205AB"/>
    <w:rsid w:val="00220E62"/>
    <w:rsid w:val="00223CE2"/>
    <w:rsid w:val="002255D8"/>
    <w:rsid w:val="0022581D"/>
    <w:rsid w:val="00227CE1"/>
    <w:rsid w:val="00233377"/>
    <w:rsid w:val="00242612"/>
    <w:rsid w:val="0024434C"/>
    <w:rsid w:val="0024475C"/>
    <w:rsid w:val="002457A0"/>
    <w:rsid w:val="00245EB5"/>
    <w:rsid w:val="00260254"/>
    <w:rsid w:val="00265D70"/>
    <w:rsid w:val="00270C40"/>
    <w:rsid w:val="002714C0"/>
    <w:rsid w:val="00273F20"/>
    <w:rsid w:val="00277271"/>
    <w:rsid w:val="0028118F"/>
    <w:rsid w:val="00285750"/>
    <w:rsid w:val="00293DD3"/>
    <w:rsid w:val="002A4C9E"/>
    <w:rsid w:val="002A4CB0"/>
    <w:rsid w:val="002A4CEE"/>
    <w:rsid w:val="002A611C"/>
    <w:rsid w:val="002B35D3"/>
    <w:rsid w:val="002B433D"/>
    <w:rsid w:val="002B5534"/>
    <w:rsid w:val="002B748C"/>
    <w:rsid w:val="002C1DDF"/>
    <w:rsid w:val="002C232F"/>
    <w:rsid w:val="002C3F70"/>
    <w:rsid w:val="002C4D5F"/>
    <w:rsid w:val="002D1F0F"/>
    <w:rsid w:val="002D48B2"/>
    <w:rsid w:val="002D7D96"/>
    <w:rsid w:val="002E23B7"/>
    <w:rsid w:val="002E6C76"/>
    <w:rsid w:val="002F64EF"/>
    <w:rsid w:val="002F6D84"/>
    <w:rsid w:val="002F79DE"/>
    <w:rsid w:val="00300965"/>
    <w:rsid w:val="00302771"/>
    <w:rsid w:val="0030281C"/>
    <w:rsid w:val="00302CF2"/>
    <w:rsid w:val="00307198"/>
    <w:rsid w:val="0030797D"/>
    <w:rsid w:val="00310324"/>
    <w:rsid w:val="0031363C"/>
    <w:rsid w:val="003203D7"/>
    <w:rsid w:val="0032264C"/>
    <w:rsid w:val="00322E64"/>
    <w:rsid w:val="003243EB"/>
    <w:rsid w:val="0032528A"/>
    <w:rsid w:val="00325CCE"/>
    <w:rsid w:val="0032718B"/>
    <w:rsid w:val="003279C4"/>
    <w:rsid w:val="00327BF8"/>
    <w:rsid w:val="00331383"/>
    <w:rsid w:val="00331622"/>
    <w:rsid w:val="003323F6"/>
    <w:rsid w:val="0033677F"/>
    <w:rsid w:val="00336BAB"/>
    <w:rsid w:val="00337DCB"/>
    <w:rsid w:val="0034031E"/>
    <w:rsid w:val="00343B0C"/>
    <w:rsid w:val="00343F60"/>
    <w:rsid w:val="00343FBC"/>
    <w:rsid w:val="00345CB1"/>
    <w:rsid w:val="003461A0"/>
    <w:rsid w:val="0034791F"/>
    <w:rsid w:val="00353AB0"/>
    <w:rsid w:val="00364303"/>
    <w:rsid w:val="00364E40"/>
    <w:rsid w:val="00367B3F"/>
    <w:rsid w:val="00375F51"/>
    <w:rsid w:val="003761B2"/>
    <w:rsid w:val="00380EFC"/>
    <w:rsid w:val="00385EFA"/>
    <w:rsid w:val="00390EBB"/>
    <w:rsid w:val="00391BA1"/>
    <w:rsid w:val="003920A4"/>
    <w:rsid w:val="00392304"/>
    <w:rsid w:val="003944ED"/>
    <w:rsid w:val="00394D21"/>
    <w:rsid w:val="00395CA7"/>
    <w:rsid w:val="003A0098"/>
    <w:rsid w:val="003A02AA"/>
    <w:rsid w:val="003A0D0B"/>
    <w:rsid w:val="003A46A6"/>
    <w:rsid w:val="003A47A1"/>
    <w:rsid w:val="003B020B"/>
    <w:rsid w:val="003B0480"/>
    <w:rsid w:val="003B5977"/>
    <w:rsid w:val="003B599D"/>
    <w:rsid w:val="003C13E4"/>
    <w:rsid w:val="003C2704"/>
    <w:rsid w:val="003C2DBC"/>
    <w:rsid w:val="003C3306"/>
    <w:rsid w:val="003D01BF"/>
    <w:rsid w:val="003D5084"/>
    <w:rsid w:val="003F60DD"/>
    <w:rsid w:val="003F6E7D"/>
    <w:rsid w:val="004022DB"/>
    <w:rsid w:val="00402F7F"/>
    <w:rsid w:val="00410171"/>
    <w:rsid w:val="004119B1"/>
    <w:rsid w:val="004175DA"/>
    <w:rsid w:val="004248B4"/>
    <w:rsid w:val="00426462"/>
    <w:rsid w:val="00434B53"/>
    <w:rsid w:val="0043512B"/>
    <w:rsid w:val="004409C6"/>
    <w:rsid w:val="00440EFC"/>
    <w:rsid w:val="00442AD4"/>
    <w:rsid w:val="00443287"/>
    <w:rsid w:val="004432E0"/>
    <w:rsid w:val="00445B30"/>
    <w:rsid w:val="00446608"/>
    <w:rsid w:val="00447703"/>
    <w:rsid w:val="00450F49"/>
    <w:rsid w:val="00451D0E"/>
    <w:rsid w:val="00452E5E"/>
    <w:rsid w:val="0045382C"/>
    <w:rsid w:val="00453C8C"/>
    <w:rsid w:val="0045531F"/>
    <w:rsid w:val="00455803"/>
    <w:rsid w:val="00455BA3"/>
    <w:rsid w:val="0045796C"/>
    <w:rsid w:val="004624E2"/>
    <w:rsid w:val="004624E7"/>
    <w:rsid w:val="00462C3E"/>
    <w:rsid w:val="00463075"/>
    <w:rsid w:val="00466C98"/>
    <w:rsid w:val="004771C2"/>
    <w:rsid w:val="00480F23"/>
    <w:rsid w:val="0048156C"/>
    <w:rsid w:val="00487626"/>
    <w:rsid w:val="00495E5E"/>
    <w:rsid w:val="00496E58"/>
    <w:rsid w:val="004A09B4"/>
    <w:rsid w:val="004B158C"/>
    <w:rsid w:val="004B21A1"/>
    <w:rsid w:val="004B3274"/>
    <w:rsid w:val="004B35C0"/>
    <w:rsid w:val="004B39B0"/>
    <w:rsid w:val="004B6001"/>
    <w:rsid w:val="004C5A69"/>
    <w:rsid w:val="004D2714"/>
    <w:rsid w:val="004D385A"/>
    <w:rsid w:val="004D4390"/>
    <w:rsid w:val="004D4C42"/>
    <w:rsid w:val="004E1EA1"/>
    <w:rsid w:val="004E4786"/>
    <w:rsid w:val="004E488A"/>
    <w:rsid w:val="004E4CEB"/>
    <w:rsid w:val="004F0AF8"/>
    <w:rsid w:val="0050070A"/>
    <w:rsid w:val="00500AF0"/>
    <w:rsid w:val="00505C1E"/>
    <w:rsid w:val="00505DC5"/>
    <w:rsid w:val="005073E1"/>
    <w:rsid w:val="00507B30"/>
    <w:rsid w:val="00510299"/>
    <w:rsid w:val="005139F6"/>
    <w:rsid w:val="00516303"/>
    <w:rsid w:val="00520328"/>
    <w:rsid w:val="005244E6"/>
    <w:rsid w:val="00525405"/>
    <w:rsid w:val="005257DB"/>
    <w:rsid w:val="00541942"/>
    <w:rsid w:val="00541DA4"/>
    <w:rsid w:val="00552429"/>
    <w:rsid w:val="00554A52"/>
    <w:rsid w:val="00555995"/>
    <w:rsid w:val="00555CDC"/>
    <w:rsid w:val="005618EC"/>
    <w:rsid w:val="0056191B"/>
    <w:rsid w:val="0056452B"/>
    <w:rsid w:val="00564FF5"/>
    <w:rsid w:val="00571CAA"/>
    <w:rsid w:val="00572E23"/>
    <w:rsid w:val="0057456E"/>
    <w:rsid w:val="00575A2E"/>
    <w:rsid w:val="005800E3"/>
    <w:rsid w:val="00580AD0"/>
    <w:rsid w:val="00581BC3"/>
    <w:rsid w:val="00585D0C"/>
    <w:rsid w:val="005869BA"/>
    <w:rsid w:val="00586B7D"/>
    <w:rsid w:val="005954D5"/>
    <w:rsid w:val="00596C5A"/>
    <w:rsid w:val="005A0EEE"/>
    <w:rsid w:val="005A5EF2"/>
    <w:rsid w:val="005A72D8"/>
    <w:rsid w:val="005A74E8"/>
    <w:rsid w:val="005B5A7D"/>
    <w:rsid w:val="005B5F84"/>
    <w:rsid w:val="005C2118"/>
    <w:rsid w:val="005C22D1"/>
    <w:rsid w:val="005C494E"/>
    <w:rsid w:val="005C49C3"/>
    <w:rsid w:val="005D2CD3"/>
    <w:rsid w:val="005E1809"/>
    <w:rsid w:val="005E345E"/>
    <w:rsid w:val="005E4DC7"/>
    <w:rsid w:val="005E6EF5"/>
    <w:rsid w:val="005E724E"/>
    <w:rsid w:val="005F3621"/>
    <w:rsid w:val="005F5C4D"/>
    <w:rsid w:val="0061247F"/>
    <w:rsid w:val="00612ADD"/>
    <w:rsid w:val="00612B8F"/>
    <w:rsid w:val="00615AD9"/>
    <w:rsid w:val="00615BF1"/>
    <w:rsid w:val="00617D80"/>
    <w:rsid w:val="00622805"/>
    <w:rsid w:val="00624212"/>
    <w:rsid w:val="006254B2"/>
    <w:rsid w:val="00630146"/>
    <w:rsid w:val="00631D26"/>
    <w:rsid w:val="0063392C"/>
    <w:rsid w:val="00634D27"/>
    <w:rsid w:val="0063566C"/>
    <w:rsid w:val="0064011F"/>
    <w:rsid w:val="00640D15"/>
    <w:rsid w:val="00644BE5"/>
    <w:rsid w:val="00647901"/>
    <w:rsid w:val="00653E72"/>
    <w:rsid w:val="00654BFB"/>
    <w:rsid w:val="00655C63"/>
    <w:rsid w:val="00660446"/>
    <w:rsid w:val="0066473F"/>
    <w:rsid w:val="00666BE0"/>
    <w:rsid w:val="006740A3"/>
    <w:rsid w:val="0067708C"/>
    <w:rsid w:val="00691200"/>
    <w:rsid w:val="00691E9A"/>
    <w:rsid w:val="006932C3"/>
    <w:rsid w:val="00693377"/>
    <w:rsid w:val="00694738"/>
    <w:rsid w:val="0069526F"/>
    <w:rsid w:val="006A0931"/>
    <w:rsid w:val="006A37BA"/>
    <w:rsid w:val="006A498B"/>
    <w:rsid w:val="006A627D"/>
    <w:rsid w:val="006B06D6"/>
    <w:rsid w:val="006B5436"/>
    <w:rsid w:val="006B6D3B"/>
    <w:rsid w:val="006C34BB"/>
    <w:rsid w:val="006C6100"/>
    <w:rsid w:val="006D1ED8"/>
    <w:rsid w:val="006D5A3D"/>
    <w:rsid w:val="006D6C51"/>
    <w:rsid w:val="006D7F76"/>
    <w:rsid w:val="006E11F2"/>
    <w:rsid w:val="006E3A17"/>
    <w:rsid w:val="006E5BF5"/>
    <w:rsid w:val="006E6B60"/>
    <w:rsid w:val="006E726E"/>
    <w:rsid w:val="006F06D5"/>
    <w:rsid w:val="006F0C30"/>
    <w:rsid w:val="006F3B98"/>
    <w:rsid w:val="006F3D10"/>
    <w:rsid w:val="006F538A"/>
    <w:rsid w:val="006F59BD"/>
    <w:rsid w:val="0070337C"/>
    <w:rsid w:val="00705FE7"/>
    <w:rsid w:val="0070760F"/>
    <w:rsid w:val="00707B4A"/>
    <w:rsid w:val="00707FE0"/>
    <w:rsid w:val="00712544"/>
    <w:rsid w:val="00714A7B"/>
    <w:rsid w:val="00716CB9"/>
    <w:rsid w:val="007215EF"/>
    <w:rsid w:val="00721825"/>
    <w:rsid w:val="00725F6B"/>
    <w:rsid w:val="00732E84"/>
    <w:rsid w:val="00733760"/>
    <w:rsid w:val="00735F19"/>
    <w:rsid w:val="00746525"/>
    <w:rsid w:val="00750FEB"/>
    <w:rsid w:val="00751419"/>
    <w:rsid w:val="00754F86"/>
    <w:rsid w:val="007559E9"/>
    <w:rsid w:val="00760798"/>
    <w:rsid w:val="00761109"/>
    <w:rsid w:val="007618EF"/>
    <w:rsid w:val="00761ED5"/>
    <w:rsid w:val="00762141"/>
    <w:rsid w:val="00767F14"/>
    <w:rsid w:val="00774E1C"/>
    <w:rsid w:val="007758DA"/>
    <w:rsid w:val="00776862"/>
    <w:rsid w:val="00780B08"/>
    <w:rsid w:val="00782F5A"/>
    <w:rsid w:val="007848BA"/>
    <w:rsid w:val="00785939"/>
    <w:rsid w:val="00786131"/>
    <w:rsid w:val="00786709"/>
    <w:rsid w:val="007876B4"/>
    <w:rsid w:val="00787F7D"/>
    <w:rsid w:val="00791C4A"/>
    <w:rsid w:val="00796510"/>
    <w:rsid w:val="007A15AF"/>
    <w:rsid w:val="007B4BB8"/>
    <w:rsid w:val="007C104A"/>
    <w:rsid w:val="007C3373"/>
    <w:rsid w:val="007C7128"/>
    <w:rsid w:val="007D09DC"/>
    <w:rsid w:val="007D3575"/>
    <w:rsid w:val="007E461F"/>
    <w:rsid w:val="007E6D8F"/>
    <w:rsid w:val="007E7164"/>
    <w:rsid w:val="007F0648"/>
    <w:rsid w:val="007F1437"/>
    <w:rsid w:val="007F7F43"/>
    <w:rsid w:val="0080015C"/>
    <w:rsid w:val="00802606"/>
    <w:rsid w:val="0080538D"/>
    <w:rsid w:val="00805F5E"/>
    <w:rsid w:val="00806666"/>
    <w:rsid w:val="00807369"/>
    <w:rsid w:val="008121E6"/>
    <w:rsid w:val="00813D89"/>
    <w:rsid w:val="00817C09"/>
    <w:rsid w:val="00821F18"/>
    <w:rsid w:val="00827C4D"/>
    <w:rsid w:val="00830019"/>
    <w:rsid w:val="00830819"/>
    <w:rsid w:val="008324B1"/>
    <w:rsid w:val="00833B48"/>
    <w:rsid w:val="00833F12"/>
    <w:rsid w:val="00834139"/>
    <w:rsid w:val="00840AD0"/>
    <w:rsid w:val="00841C27"/>
    <w:rsid w:val="00841E99"/>
    <w:rsid w:val="00855D72"/>
    <w:rsid w:val="0086207A"/>
    <w:rsid w:val="00871250"/>
    <w:rsid w:val="00871B0B"/>
    <w:rsid w:val="0087716A"/>
    <w:rsid w:val="00877C06"/>
    <w:rsid w:val="00881D22"/>
    <w:rsid w:val="00882042"/>
    <w:rsid w:val="00882E51"/>
    <w:rsid w:val="008840A8"/>
    <w:rsid w:val="008840CA"/>
    <w:rsid w:val="00893D17"/>
    <w:rsid w:val="00894FA6"/>
    <w:rsid w:val="008A267F"/>
    <w:rsid w:val="008A2748"/>
    <w:rsid w:val="008B0B70"/>
    <w:rsid w:val="008B0EB1"/>
    <w:rsid w:val="008B3C5B"/>
    <w:rsid w:val="008B5017"/>
    <w:rsid w:val="008B7421"/>
    <w:rsid w:val="008C16A7"/>
    <w:rsid w:val="008C24D5"/>
    <w:rsid w:val="008C4B5D"/>
    <w:rsid w:val="008C6990"/>
    <w:rsid w:val="008D0487"/>
    <w:rsid w:val="008D0790"/>
    <w:rsid w:val="008D2D36"/>
    <w:rsid w:val="008D4821"/>
    <w:rsid w:val="008E294C"/>
    <w:rsid w:val="008E3AFC"/>
    <w:rsid w:val="008E5B4D"/>
    <w:rsid w:val="008F4792"/>
    <w:rsid w:val="008F545C"/>
    <w:rsid w:val="00903C36"/>
    <w:rsid w:val="00903C57"/>
    <w:rsid w:val="009077AF"/>
    <w:rsid w:val="009121C4"/>
    <w:rsid w:val="00916774"/>
    <w:rsid w:val="009239BD"/>
    <w:rsid w:val="00932AAD"/>
    <w:rsid w:val="00934819"/>
    <w:rsid w:val="009373A8"/>
    <w:rsid w:val="00944F70"/>
    <w:rsid w:val="0094700D"/>
    <w:rsid w:val="00947C81"/>
    <w:rsid w:val="009566FB"/>
    <w:rsid w:val="00962C70"/>
    <w:rsid w:val="00965223"/>
    <w:rsid w:val="00971D94"/>
    <w:rsid w:val="00975499"/>
    <w:rsid w:val="0097554E"/>
    <w:rsid w:val="00975C85"/>
    <w:rsid w:val="0098295D"/>
    <w:rsid w:val="009856DE"/>
    <w:rsid w:val="00987C10"/>
    <w:rsid w:val="00987D36"/>
    <w:rsid w:val="009A0952"/>
    <w:rsid w:val="009A3FE5"/>
    <w:rsid w:val="009A6A5C"/>
    <w:rsid w:val="009B223C"/>
    <w:rsid w:val="009B2714"/>
    <w:rsid w:val="009B2FB7"/>
    <w:rsid w:val="009B35EF"/>
    <w:rsid w:val="009B4F8B"/>
    <w:rsid w:val="009B4FBD"/>
    <w:rsid w:val="009B5FD7"/>
    <w:rsid w:val="009B6993"/>
    <w:rsid w:val="009B6EA3"/>
    <w:rsid w:val="009C7336"/>
    <w:rsid w:val="009D313F"/>
    <w:rsid w:val="009D5D39"/>
    <w:rsid w:val="009E1D0B"/>
    <w:rsid w:val="009E228B"/>
    <w:rsid w:val="009E2435"/>
    <w:rsid w:val="009E2915"/>
    <w:rsid w:val="009E2CE2"/>
    <w:rsid w:val="009E3C88"/>
    <w:rsid w:val="009E758E"/>
    <w:rsid w:val="009F07DC"/>
    <w:rsid w:val="009F2D6B"/>
    <w:rsid w:val="009F3909"/>
    <w:rsid w:val="009F69CF"/>
    <w:rsid w:val="009F73AC"/>
    <w:rsid w:val="00A00A7D"/>
    <w:rsid w:val="00A00B1B"/>
    <w:rsid w:val="00A05CA6"/>
    <w:rsid w:val="00A10E9C"/>
    <w:rsid w:val="00A121EE"/>
    <w:rsid w:val="00A13DAD"/>
    <w:rsid w:val="00A2215C"/>
    <w:rsid w:val="00A22A85"/>
    <w:rsid w:val="00A26D07"/>
    <w:rsid w:val="00A358E6"/>
    <w:rsid w:val="00A369A4"/>
    <w:rsid w:val="00A43C70"/>
    <w:rsid w:val="00A52EC8"/>
    <w:rsid w:val="00A53F1C"/>
    <w:rsid w:val="00A5479B"/>
    <w:rsid w:val="00A637A7"/>
    <w:rsid w:val="00A66F67"/>
    <w:rsid w:val="00A678CB"/>
    <w:rsid w:val="00A70C7B"/>
    <w:rsid w:val="00A76114"/>
    <w:rsid w:val="00A77840"/>
    <w:rsid w:val="00A80D2C"/>
    <w:rsid w:val="00A84966"/>
    <w:rsid w:val="00A948DC"/>
    <w:rsid w:val="00A95A01"/>
    <w:rsid w:val="00AB0441"/>
    <w:rsid w:val="00AB3429"/>
    <w:rsid w:val="00AB34F5"/>
    <w:rsid w:val="00AB6226"/>
    <w:rsid w:val="00AC0BF1"/>
    <w:rsid w:val="00AC4B9E"/>
    <w:rsid w:val="00AC6868"/>
    <w:rsid w:val="00AD14F4"/>
    <w:rsid w:val="00AD528F"/>
    <w:rsid w:val="00AD7038"/>
    <w:rsid w:val="00AE02BB"/>
    <w:rsid w:val="00AE73BD"/>
    <w:rsid w:val="00AE7C3C"/>
    <w:rsid w:val="00AE7FB6"/>
    <w:rsid w:val="00AF4D70"/>
    <w:rsid w:val="00B0473B"/>
    <w:rsid w:val="00B06A58"/>
    <w:rsid w:val="00B1296D"/>
    <w:rsid w:val="00B132D5"/>
    <w:rsid w:val="00B135A3"/>
    <w:rsid w:val="00B16623"/>
    <w:rsid w:val="00B1778D"/>
    <w:rsid w:val="00B17B82"/>
    <w:rsid w:val="00B20230"/>
    <w:rsid w:val="00B2057B"/>
    <w:rsid w:val="00B32A8F"/>
    <w:rsid w:val="00B33230"/>
    <w:rsid w:val="00B3543A"/>
    <w:rsid w:val="00B35EC3"/>
    <w:rsid w:val="00B44D0E"/>
    <w:rsid w:val="00B45155"/>
    <w:rsid w:val="00B45B7C"/>
    <w:rsid w:val="00B45CAA"/>
    <w:rsid w:val="00B55306"/>
    <w:rsid w:val="00B60C06"/>
    <w:rsid w:val="00B65F21"/>
    <w:rsid w:val="00B711BE"/>
    <w:rsid w:val="00B75197"/>
    <w:rsid w:val="00B76935"/>
    <w:rsid w:val="00B8282C"/>
    <w:rsid w:val="00B836C3"/>
    <w:rsid w:val="00B83A40"/>
    <w:rsid w:val="00B83E63"/>
    <w:rsid w:val="00B85D42"/>
    <w:rsid w:val="00B87784"/>
    <w:rsid w:val="00B93B21"/>
    <w:rsid w:val="00BA7334"/>
    <w:rsid w:val="00BC1AAB"/>
    <w:rsid w:val="00BC232F"/>
    <w:rsid w:val="00BC2B32"/>
    <w:rsid w:val="00BD080B"/>
    <w:rsid w:val="00BD2F09"/>
    <w:rsid w:val="00BD628D"/>
    <w:rsid w:val="00BE2129"/>
    <w:rsid w:val="00BE5404"/>
    <w:rsid w:val="00BE7450"/>
    <w:rsid w:val="00BF19BE"/>
    <w:rsid w:val="00C015A8"/>
    <w:rsid w:val="00C11B2D"/>
    <w:rsid w:val="00C14289"/>
    <w:rsid w:val="00C1467C"/>
    <w:rsid w:val="00C153B7"/>
    <w:rsid w:val="00C15992"/>
    <w:rsid w:val="00C21027"/>
    <w:rsid w:val="00C23341"/>
    <w:rsid w:val="00C272BF"/>
    <w:rsid w:val="00C27874"/>
    <w:rsid w:val="00C31EB5"/>
    <w:rsid w:val="00C32939"/>
    <w:rsid w:val="00C33ED0"/>
    <w:rsid w:val="00C34506"/>
    <w:rsid w:val="00C3577C"/>
    <w:rsid w:val="00C359C7"/>
    <w:rsid w:val="00C36356"/>
    <w:rsid w:val="00C37F39"/>
    <w:rsid w:val="00C41B58"/>
    <w:rsid w:val="00C441B1"/>
    <w:rsid w:val="00C46A89"/>
    <w:rsid w:val="00C50242"/>
    <w:rsid w:val="00C51161"/>
    <w:rsid w:val="00C52A3D"/>
    <w:rsid w:val="00C52A82"/>
    <w:rsid w:val="00C544BA"/>
    <w:rsid w:val="00C55132"/>
    <w:rsid w:val="00C5585D"/>
    <w:rsid w:val="00C567D1"/>
    <w:rsid w:val="00C61BBF"/>
    <w:rsid w:val="00C63747"/>
    <w:rsid w:val="00C63DAA"/>
    <w:rsid w:val="00C63FEF"/>
    <w:rsid w:val="00C640B5"/>
    <w:rsid w:val="00C6483E"/>
    <w:rsid w:val="00C662F6"/>
    <w:rsid w:val="00C66E5B"/>
    <w:rsid w:val="00C67145"/>
    <w:rsid w:val="00C83E91"/>
    <w:rsid w:val="00C842F4"/>
    <w:rsid w:val="00C93D88"/>
    <w:rsid w:val="00C97E15"/>
    <w:rsid w:val="00CA118C"/>
    <w:rsid w:val="00CA46F7"/>
    <w:rsid w:val="00CA5822"/>
    <w:rsid w:val="00CA628C"/>
    <w:rsid w:val="00CB0581"/>
    <w:rsid w:val="00CB0595"/>
    <w:rsid w:val="00CB0BDC"/>
    <w:rsid w:val="00CB0C6C"/>
    <w:rsid w:val="00CB11AC"/>
    <w:rsid w:val="00CB1A1F"/>
    <w:rsid w:val="00CB60B7"/>
    <w:rsid w:val="00CB7A78"/>
    <w:rsid w:val="00CC419F"/>
    <w:rsid w:val="00CC7A3A"/>
    <w:rsid w:val="00CD09A4"/>
    <w:rsid w:val="00CD3A92"/>
    <w:rsid w:val="00CD50BA"/>
    <w:rsid w:val="00CD664C"/>
    <w:rsid w:val="00CD7911"/>
    <w:rsid w:val="00CE3186"/>
    <w:rsid w:val="00CE6018"/>
    <w:rsid w:val="00CE6C8D"/>
    <w:rsid w:val="00CF02D5"/>
    <w:rsid w:val="00CF193C"/>
    <w:rsid w:val="00D0080A"/>
    <w:rsid w:val="00D01E27"/>
    <w:rsid w:val="00D0511B"/>
    <w:rsid w:val="00D079D3"/>
    <w:rsid w:val="00D16410"/>
    <w:rsid w:val="00D2225F"/>
    <w:rsid w:val="00D226EF"/>
    <w:rsid w:val="00D30907"/>
    <w:rsid w:val="00D31804"/>
    <w:rsid w:val="00D333ED"/>
    <w:rsid w:val="00D35E3D"/>
    <w:rsid w:val="00D44368"/>
    <w:rsid w:val="00D51619"/>
    <w:rsid w:val="00D577FB"/>
    <w:rsid w:val="00D62074"/>
    <w:rsid w:val="00D62B6D"/>
    <w:rsid w:val="00D658A6"/>
    <w:rsid w:val="00D665A7"/>
    <w:rsid w:val="00D72FA1"/>
    <w:rsid w:val="00D749E1"/>
    <w:rsid w:val="00D87D85"/>
    <w:rsid w:val="00D9186A"/>
    <w:rsid w:val="00D95BEF"/>
    <w:rsid w:val="00DA11A2"/>
    <w:rsid w:val="00DA2A29"/>
    <w:rsid w:val="00DA3542"/>
    <w:rsid w:val="00DA7E37"/>
    <w:rsid w:val="00DB2575"/>
    <w:rsid w:val="00DB36FB"/>
    <w:rsid w:val="00DC00E2"/>
    <w:rsid w:val="00DC1F10"/>
    <w:rsid w:val="00DC5B6B"/>
    <w:rsid w:val="00DD1ED6"/>
    <w:rsid w:val="00DD24C3"/>
    <w:rsid w:val="00DD5935"/>
    <w:rsid w:val="00DD737B"/>
    <w:rsid w:val="00DE2D75"/>
    <w:rsid w:val="00DE458C"/>
    <w:rsid w:val="00DE5DCC"/>
    <w:rsid w:val="00DE7374"/>
    <w:rsid w:val="00DF3ABA"/>
    <w:rsid w:val="00DF5915"/>
    <w:rsid w:val="00DF638F"/>
    <w:rsid w:val="00DF7E40"/>
    <w:rsid w:val="00E06A50"/>
    <w:rsid w:val="00E12047"/>
    <w:rsid w:val="00E120A2"/>
    <w:rsid w:val="00E124EB"/>
    <w:rsid w:val="00E15FB1"/>
    <w:rsid w:val="00E208FC"/>
    <w:rsid w:val="00E25949"/>
    <w:rsid w:val="00E3094E"/>
    <w:rsid w:val="00E36BA5"/>
    <w:rsid w:val="00E37294"/>
    <w:rsid w:val="00E44709"/>
    <w:rsid w:val="00E45213"/>
    <w:rsid w:val="00E476D5"/>
    <w:rsid w:val="00E509F3"/>
    <w:rsid w:val="00E53809"/>
    <w:rsid w:val="00E54F2D"/>
    <w:rsid w:val="00E5683B"/>
    <w:rsid w:val="00E61354"/>
    <w:rsid w:val="00E61DDC"/>
    <w:rsid w:val="00E62902"/>
    <w:rsid w:val="00E633C0"/>
    <w:rsid w:val="00E670A3"/>
    <w:rsid w:val="00E7006C"/>
    <w:rsid w:val="00E71108"/>
    <w:rsid w:val="00E75AFF"/>
    <w:rsid w:val="00E77730"/>
    <w:rsid w:val="00E800E3"/>
    <w:rsid w:val="00E85B55"/>
    <w:rsid w:val="00E92D9D"/>
    <w:rsid w:val="00E94EF6"/>
    <w:rsid w:val="00E979EB"/>
    <w:rsid w:val="00EA1C84"/>
    <w:rsid w:val="00EA27F2"/>
    <w:rsid w:val="00EA630C"/>
    <w:rsid w:val="00EB095A"/>
    <w:rsid w:val="00EB12AE"/>
    <w:rsid w:val="00EB2A9A"/>
    <w:rsid w:val="00EB32D6"/>
    <w:rsid w:val="00EB7D76"/>
    <w:rsid w:val="00EC364B"/>
    <w:rsid w:val="00EC54C4"/>
    <w:rsid w:val="00EC693B"/>
    <w:rsid w:val="00ED45DF"/>
    <w:rsid w:val="00ED651F"/>
    <w:rsid w:val="00EE292F"/>
    <w:rsid w:val="00EE5E93"/>
    <w:rsid w:val="00EF0523"/>
    <w:rsid w:val="00EF3625"/>
    <w:rsid w:val="00EF448E"/>
    <w:rsid w:val="00EF718A"/>
    <w:rsid w:val="00EF7C8B"/>
    <w:rsid w:val="00F006AD"/>
    <w:rsid w:val="00F02DE5"/>
    <w:rsid w:val="00F043AA"/>
    <w:rsid w:val="00F046CD"/>
    <w:rsid w:val="00F04B91"/>
    <w:rsid w:val="00F05859"/>
    <w:rsid w:val="00F06B7F"/>
    <w:rsid w:val="00F114AB"/>
    <w:rsid w:val="00F11506"/>
    <w:rsid w:val="00F11972"/>
    <w:rsid w:val="00F126D6"/>
    <w:rsid w:val="00F16D37"/>
    <w:rsid w:val="00F20CA4"/>
    <w:rsid w:val="00F25AE3"/>
    <w:rsid w:val="00F36A65"/>
    <w:rsid w:val="00F40BBE"/>
    <w:rsid w:val="00F42AB9"/>
    <w:rsid w:val="00F47CCD"/>
    <w:rsid w:val="00F505C9"/>
    <w:rsid w:val="00F542E5"/>
    <w:rsid w:val="00F56479"/>
    <w:rsid w:val="00F60A70"/>
    <w:rsid w:val="00F60BDC"/>
    <w:rsid w:val="00F60D1D"/>
    <w:rsid w:val="00F63060"/>
    <w:rsid w:val="00F6561A"/>
    <w:rsid w:val="00F671D6"/>
    <w:rsid w:val="00F67D4E"/>
    <w:rsid w:val="00F708FC"/>
    <w:rsid w:val="00F70EE2"/>
    <w:rsid w:val="00F71214"/>
    <w:rsid w:val="00F72719"/>
    <w:rsid w:val="00F72759"/>
    <w:rsid w:val="00F772A8"/>
    <w:rsid w:val="00F826F1"/>
    <w:rsid w:val="00F8660F"/>
    <w:rsid w:val="00F871B8"/>
    <w:rsid w:val="00F917AA"/>
    <w:rsid w:val="00F93A65"/>
    <w:rsid w:val="00F97C23"/>
    <w:rsid w:val="00FA3D6B"/>
    <w:rsid w:val="00FA5EF4"/>
    <w:rsid w:val="00FA60BA"/>
    <w:rsid w:val="00FA79C0"/>
    <w:rsid w:val="00FB4998"/>
    <w:rsid w:val="00FB55E2"/>
    <w:rsid w:val="00FB764B"/>
    <w:rsid w:val="00FC107B"/>
    <w:rsid w:val="00FC1ADC"/>
    <w:rsid w:val="00FC2E3A"/>
    <w:rsid w:val="00FC599B"/>
    <w:rsid w:val="00FC72E1"/>
    <w:rsid w:val="00FD43D9"/>
    <w:rsid w:val="00FD5881"/>
    <w:rsid w:val="00FD672F"/>
    <w:rsid w:val="00FD7633"/>
    <w:rsid w:val="00FE4C9C"/>
    <w:rsid w:val="00FE5E70"/>
    <w:rsid w:val="00FE645B"/>
    <w:rsid w:val="00FE67F5"/>
    <w:rsid w:val="00FF386F"/>
    <w:rsid w:val="00FF5535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F546C8"/>
  <w15:docId w15:val="{A2E03692-6943-4CF5-8D7A-700CD6E6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A22A8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rsid w:val="005C2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2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C2118"/>
  </w:style>
  <w:style w:type="paragraph" w:styleId="CommentSubject">
    <w:name w:val="annotation subject"/>
    <w:basedOn w:val="CommentText"/>
    <w:next w:val="CommentText"/>
    <w:link w:val="CommentSubjectChar"/>
    <w:rsid w:val="005C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C2118"/>
    <w:rPr>
      <w:b/>
      <w:bCs/>
    </w:rPr>
  </w:style>
  <w:style w:type="paragraph" w:styleId="BalloonText">
    <w:name w:val="Balloon Text"/>
    <w:basedOn w:val="Normal"/>
    <w:link w:val="BalloonTextChar"/>
    <w:rsid w:val="005C21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1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33F12"/>
    <w:rPr>
      <w:sz w:val="22"/>
    </w:rPr>
  </w:style>
  <w:style w:type="paragraph" w:customStyle="1" w:styleId="Default">
    <w:name w:val="Default"/>
    <w:rsid w:val="001167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0429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C419F"/>
    <w:pPr>
      <w:jc w:val="left"/>
    </w:pPr>
    <w:rPr>
      <w:rFonts w:ascii="Calibri" w:hAnsi="Calibri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CC419F"/>
    <w:rPr>
      <w:rFonts w:ascii="Calibri" w:hAnsi="Calibri"/>
      <w:sz w:val="22"/>
      <w:szCs w:val="21"/>
      <w:lang w:val="en-GB" w:eastAsia="en-GB"/>
    </w:rPr>
  </w:style>
  <w:style w:type="character" w:styleId="Hyperlink">
    <w:name w:val="Hyperlink"/>
    <w:basedOn w:val="DefaultParagraphFont"/>
    <w:unhideWhenUsed/>
    <w:rsid w:val="000554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80D2C"/>
    <w:rPr>
      <w:color w:val="800080" w:themeColor="followedHyperlink"/>
      <w:u w:val="single"/>
    </w:rPr>
  </w:style>
  <w:style w:type="character" w:customStyle="1" w:styleId="tlid-translation">
    <w:name w:val="tlid-translation"/>
    <w:basedOn w:val="DefaultParagraphFont"/>
    <w:rsid w:val="00B75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is.org/bcbs/qisoprisknote.pdf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s.org/bcbs/qisoprisknote.pdf" TargetMode="Externa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is.org/publ/bcbs107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IS_ProjectManager xmlns="e841b482-2cfa-447c-bd87-97348dd45629">
      <UserInfo>
        <DisplayName/>
        <AccountId xsi:nil="true"/>
        <AccountType/>
      </UserInfo>
    </ERIS_ProjectManager>
    <ERIS_ProjectCategory xmlns="e841b482-2cfa-447c-bd87-97348dd45629">Operational (Corporate)</ERIS_ProjectCategory>
    <ERIS_OtherReference xmlns="e841b482-2cfa-447c-bd87-97348dd45629" xsi:nil="true"/>
    <ERIS_Relation xmlns="e841b482-2cfa-447c-bd87-97348dd45629">, </ERIS_Relation>
    <eec7bcfd40c7478cad394885bb511292 xmlns="e841b482-2cfa-447c-bd87-97348dd456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2741a941-2920-4ba4-aa70-d8ed6ac1785d</TermId>
        </TermInfo>
      </Terms>
    </eec7bcfd40c7478cad394885bb511292>
    <nf6ec4467e9648c7aeeaf55817b6cc51 xmlns="e841b482-2cfa-447c-bd87-97348dd456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Technical Document</TermName>
          <TermId xmlns="http://schemas.microsoft.com/office/infopath/2007/PartnerControls">1a5bea9a-9455-4b42-9695-f3d22fbcc445</TermId>
        </TermInfo>
      </Terms>
    </nf6ec4467e9648c7aeeaf55817b6cc51>
    <TaxCatchAll xmlns="e841b482-2cfa-447c-bd87-97348dd45629">
      <Value>135</Value>
      <Value>63</Value>
      <Value>147</Value>
      <Value>61</Value>
      <Value>93</Value>
      <Value>7</Value>
      <Value>2</Value>
      <Value>1</Value>
    </TaxCatchAll>
    <ERIS_RecordNumber xmlns="e841b482-2cfa-447c-bd87-97348dd45629">EIOPA(2020)0068170</ERIS_RecordNumber>
    <ERIS_AdditionalMarkings xmlns="e841b482-2cfa-447c-bd87-97348dd45629" xsi:nil="true"/>
    <End_x0020_of_x0020_System_x0020_Life xmlns="e841b482-2cfa-447c-bd87-97348dd45629" xsi:nil="true"/>
    <ERIS_ApprovalStatus xmlns="e841b482-2cfa-447c-bd87-97348dd45629">DRAFT</ERIS_ApprovalStatus>
    <ERIS_AssignedTo xmlns="e841b482-2cfa-447c-bd87-97348dd45629">
      <UserInfo>
        <DisplayName/>
        <AccountId xsi:nil="true"/>
        <AccountType/>
      </UserInfo>
    </ERIS_AssignedTo>
    <ERIS_ProjectID xmlns="e841b482-2cfa-447c-bd87-97348dd45629" xsi:nil="true"/>
    <FormData xmlns="http://schemas.microsoft.com/sharepoint/v3">&lt;?xml version="1.0" encoding="utf-8"?&gt;&lt;FormVariables&gt;&lt;Version /&gt;&lt;/FormVariables&gt;</FormData>
    <ERIS_ConfidentialityLevel xmlns="e841b482-2cfa-447c-bd87-97348dd45629">EIOPA Regular Use</ERIS_ConfidentialityLevel>
    <ERIS_SupersededObsolete xmlns="e841b482-2cfa-447c-bd87-97348dd45629">false</ERIS_SupersededObsolete>
    <g3859b8f80744118b3afb58941837544 xmlns="e841b482-2cfa-447c-bd87-97348dd456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Management</TermName>
          <TermId xmlns="http://schemas.microsoft.com/office/infopath/2007/PartnerControls">cea3a7db-f348-4c35-b78b-82f6e4e7dbce</TermId>
        </TermInfo>
        <TermInfo xmlns="http://schemas.microsoft.com/office/infopath/2007/PartnerControls">
          <TermName xmlns="http://schemas.microsoft.com/office/infopath/2007/PartnerControls">Solvency II</TermName>
          <TermId xmlns="http://schemas.microsoft.com/office/infopath/2007/PartnerControls">9d7de132-f9bd-4b68-83a5-47bf5bf01789</TermId>
        </TermInfo>
        <TermInfo xmlns="http://schemas.microsoft.com/office/infopath/2007/PartnerControls">
          <TermName xmlns="http://schemas.microsoft.com/office/infopath/2007/PartnerControls">Insurance</TermName>
          <TermId xmlns="http://schemas.microsoft.com/office/infopath/2007/PartnerControls">7d742bda-a71f-46ed-a0a2-2b27d7f827fc</TermId>
        </TermInfo>
        <TermInfo xmlns="http://schemas.microsoft.com/office/infopath/2007/PartnerControls">
          <TermName xmlns="http://schemas.microsoft.com/office/infopath/2007/PartnerControls">Quantitative Reporting Templates</TermName>
          <TermId xmlns="http://schemas.microsoft.com/office/infopath/2007/PartnerControls">d7753427-b1c9-4f72-b6a6-10b2a5ee67e3</TermId>
        </TermInfo>
        <TermInfo xmlns="http://schemas.microsoft.com/office/infopath/2007/PartnerControls">
          <TermName xmlns="http://schemas.microsoft.com/office/infopath/2007/PartnerControls">Internal Models</TermName>
          <TermId xmlns="http://schemas.microsoft.com/office/infopath/2007/PartnerControls">3d5fcbdf-bfdb-4014-a35e-dbf465a6c51e</TermId>
        </TermInfo>
      </Terms>
    </g3859b8f80744118b3afb58941837544>
    <a95abb4829b0440c8b23339bd11ce4d8 xmlns="e841b482-2cfa-447c-bd87-97348dd456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Oversight Department</TermName>
          <TermId xmlns="http://schemas.microsoft.com/office/infopath/2007/PartnerControls">8b947239-66c9-4ae5-9d54-b069a4b4190b</TermId>
        </TermInfo>
      </Terms>
    </a95abb4829b0440c8b23339bd11ce4d8>
    <ERIS_ProjectEndDate xmlns="e841b482-2cfa-447c-bd87-97348dd45629" xsi:nil="true"/>
  </documentManagement>
</p:properti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RIS Document" ma:contentTypeID="0x01010084A0DBB21E3DC54BA789567D0CCFAAD9005DB351B5634D6748AB9FB973AAD589AA" ma:contentTypeVersion="53" ma:contentTypeDescription="" ma:contentTypeScope="" ma:versionID="cdc8a51a9e24ec11a42a299710a7a0bd">
  <xsd:schema xmlns:xsd="http://www.w3.org/2001/XMLSchema" xmlns:xs="http://www.w3.org/2001/XMLSchema" xmlns:p="http://schemas.microsoft.com/office/2006/metadata/properties" xmlns:ns1="http://schemas.microsoft.com/sharepoint/v3" xmlns:ns2="e841b482-2cfa-447c-bd87-97348dd45629" targetNamespace="http://schemas.microsoft.com/office/2006/metadata/properties" ma:root="true" ma:fieldsID="2923615d9da355e1f414bf96c813cf88" ns1:_="" ns2:_="">
    <xsd:import namespace="http://schemas.microsoft.com/sharepoint/v3"/>
    <xsd:import namespace="e841b482-2cfa-447c-bd87-97348dd45629"/>
    <xsd:element name="properties">
      <xsd:complexType>
        <xsd:sequence>
          <xsd:element name="documentManagement">
            <xsd:complexType>
              <xsd:all>
                <xsd:element ref="ns2:ERIS_ConfidentialityLevel"/>
                <xsd:element ref="ns2:ERIS_AdditionalMarkings" minOccurs="0"/>
                <xsd:element ref="ns2:ERIS_ApprovalStatus" minOccurs="0"/>
                <xsd:element ref="ns2:ERIS_ProjectID" minOccurs="0"/>
                <xsd:element ref="ns2:ERIS_ProjectManager" minOccurs="0"/>
                <xsd:element ref="ns2:ERIS_ProjectCategory" minOccurs="0"/>
                <xsd:element ref="ns2:ERIS_ProjectEndDate" minOccurs="0"/>
                <xsd:element ref="ns2:End_x0020_of_x0020_System_x0020_Life" minOccurs="0"/>
                <xsd:element ref="ns2:ERIS_OtherReference" minOccurs="0"/>
                <xsd:element ref="ns2:ERIS_Relation" minOccurs="0"/>
                <xsd:element ref="ns2:ERIS_AssignedTo" minOccurs="0"/>
                <xsd:element ref="ns2:ERIS_RecordNumber" minOccurs="0"/>
                <xsd:element ref="ns2:TaxCatchAll" minOccurs="0"/>
                <xsd:element ref="ns2:TaxCatchAllLabel" minOccurs="0"/>
                <xsd:element ref="ns2:g3859b8f80744118b3afb58941837544" minOccurs="0"/>
                <xsd:element ref="ns2:eec7bcfd40c7478cad394885bb511292" minOccurs="0"/>
                <xsd:element ref="ns2:a95abb4829b0440c8b23339bd11ce4d8" minOccurs="0"/>
                <xsd:element ref="ns2:nf6ec4467e9648c7aeeaf55817b6cc51" minOccurs="0"/>
                <xsd:element ref="ns1:FormData" minOccurs="0"/>
                <xsd:element ref="ns2:ERIS_SupersededObsole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0" nillable="true" ma:displayName="Form Data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1b482-2cfa-447c-bd87-97348dd45629" elementFormDefault="qualified">
    <xsd:import namespace="http://schemas.microsoft.com/office/2006/documentManagement/types"/>
    <xsd:import namespace="http://schemas.microsoft.com/office/infopath/2007/PartnerControls"/>
    <xsd:element name="ERIS_ConfidentialityLevel" ma:index="4" ma:displayName="Confidentiality Level" ma:default="EIOPA Regular Use" ma:format="Dropdown" ma:internalName="ERIS_ConfidentialityLevel" ma:readOnly="false">
      <xsd:simpleType>
        <xsd:restriction base="dms:Choice">
          <xsd:enumeration value="PUBLIC"/>
          <xsd:enumeration value="EIOPA Regular Use"/>
          <xsd:enumeration value="EIOPA Restricted Use"/>
          <xsd:enumeration value="EIOPA Confidential Use"/>
        </xsd:restriction>
      </xsd:simpleType>
    </xsd:element>
    <xsd:element name="ERIS_AdditionalMarkings" ma:index="5" nillable="true" ma:displayName="Additional Markings" ma:format="Dropdown" ma:internalName="ERIS_AdditionalMarkings">
      <xsd:simpleType>
        <xsd:union memberTypes="dms:Text">
          <xsd:simpleType>
            <xsd:restriction base="dms:Choice">
              <xsd:enumeration value="Limited"/>
              <xsd:enumeration value="Internal Use Only"/>
              <xsd:enumeration value="Personal Data"/>
              <xsd:enumeration value="Staff Matter"/>
              <xsd:enumeration value="Management Only"/>
            </xsd:restriction>
          </xsd:simpleType>
        </xsd:union>
      </xsd:simpleType>
    </xsd:element>
    <xsd:element name="ERIS_ApprovalStatus" ma:index="6" nillable="true" ma:displayName="Approval Status" ma:default="DRAFT" ma:format="Dropdown" ma:internalName="ERIS_ApprovalStatus">
      <xsd:simpleType>
        <xsd:restriction base="dms:Choice">
          <xsd:enumeration value="DRAFT"/>
          <xsd:enumeration value="UNDER REVIEW"/>
          <xsd:enumeration value="FINAL"/>
          <xsd:enumeration value="N/A"/>
        </xsd:restriction>
      </xsd:simpleType>
    </xsd:element>
    <xsd:element name="ERIS_ProjectID" ma:index="8" nillable="true" ma:displayName="Project ID" ma:internalName="ERIS_ProjectID">
      <xsd:simpleType>
        <xsd:restriction base="dms:Text"/>
      </xsd:simpleType>
    </xsd:element>
    <xsd:element name="ERIS_ProjectManager" ma:index="9" nillable="true" ma:displayName="Project Manager" ma:SharePointGroup="0" ma:internalName="ERIS_Project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IS_ProjectCategory" ma:index="10" nillable="true" ma:displayName="Project Category" ma:format="Dropdown" ma:internalName="ERIS_ProjectCategory" ma:readOnly="false">
      <xsd:simpleType>
        <xsd:restriction base="dms:Choice">
          <xsd:enumeration value="Operational (Corporate)"/>
          <xsd:enumeration value="Operational (IT)"/>
          <xsd:enumeration value="Administrative"/>
        </xsd:restriction>
      </xsd:simpleType>
    </xsd:element>
    <xsd:element name="ERIS_ProjectEndDate" ma:index="11" nillable="true" ma:displayName="Project End Date" ma:format="DateOnly" ma:internalName="ERIS_ProjectEndDate">
      <xsd:simpleType>
        <xsd:restriction base="dms:DateTime"/>
      </xsd:simpleType>
    </xsd:element>
    <xsd:element name="End_x0020_of_x0020_System_x0020_Life" ma:index="12" nillable="true" ma:displayName="End of System Life" ma:format="DateOnly" ma:internalName="End_x0020_of_x0020_System_x0020_Life">
      <xsd:simpleType>
        <xsd:restriction base="dms:DateTime"/>
      </xsd:simpleType>
    </xsd:element>
    <xsd:element name="ERIS_OtherReference" ma:index="14" nillable="true" ma:displayName="Other Reference" ma:internalName="ERIS_OtherReference">
      <xsd:simpleType>
        <xsd:restriction base="dms:Text"/>
      </xsd:simpleType>
    </xsd:element>
    <xsd:element name="ERIS_Relation" ma:index="15" nillable="true" ma:displayName="Relation" ma:internalName="ERIS_Relation">
      <xsd:simpleType>
        <xsd:restriction base="dms:Text"/>
      </xsd:simpleType>
    </xsd:element>
    <xsd:element name="ERIS_AssignedTo" ma:index="16" nillable="true" ma:displayName="Assigned To" ma:internalName="ERIS_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IS_RecordNumber" ma:index="17" nillable="true" ma:displayName="Record Number" ma:internalName="ERIS_RecordNumber">
      <xsd:simpleType>
        <xsd:restriction base="dms:Text"/>
      </xsd:simpleType>
    </xsd:element>
    <xsd:element name="TaxCatchAll" ma:index="18" nillable="true" ma:displayName="Taxonomy Catch All Column" ma:hidden="true" ma:list="{aa789d20-0c03-4e86-a1a7-ad9e54b13670}" ma:internalName="TaxCatchAll" ma:showField="CatchAllData" ma:web="e841b482-2cfa-447c-bd87-97348dd45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aa789d20-0c03-4e86-a1a7-ad9e54b13670}" ma:internalName="TaxCatchAllLabel" ma:readOnly="true" ma:showField="CatchAllDataLabel" ma:web="e841b482-2cfa-447c-bd87-97348dd45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859b8f80744118b3afb58941837544" ma:index="21" ma:taxonomy="true" ma:internalName="g3859b8f80744118b3afb58941837544" ma:taxonomyFieldName="ERIS_Keywords" ma:displayName="Keywords" ma:readOnly="false" ma:fieldId="{03859b8f-8074-4118-b3af-b58941837544}" ma:taxonomyMulti="true" ma:sspId="2b1776d1-ae3b-49f8-a97b-1474fa7fa346" ma:termSetId="041e8d27-50b6-44df-be8e-d4aba88ea6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ec7bcfd40c7478cad394885bb511292" ma:index="22" nillable="true" ma:taxonomy="true" ma:internalName="eec7bcfd40c7478cad394885bb511292" ma:taxonomyFieldName="ERIS_Language" ma:displayName="Language" ma:default="2;#English|2741a941-2920-4ba4-aa70-d8ed6ac1785d" ma:fieldId="{eec7bcfd-40c7-478c-ad39-4885bb511292}" ma:taxonomyMulti="true" ma:sspId="2b1776d1-ae3b-49f8-a97b-1474fa7fa346" ma:termSetId="315add97-73bf-465d-a942-81c36fc30c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95abb4829b0440c8b23339bd11ce4d8" ma:index="26" nillable="true" ma:taxonomy="true" ma:internalName="a95abb4829b0440c8b23339bd11ce4d8" ma:taxonomyFieldName="ERIS_Department" ma:displayName="EIOPA Department" ma:default="" ma:fieldId="{a95abb48-29b0-440c-8b23-339bd11ce4d8}" ma:sspId="2b1776d1-ae3b-49f8-a97b-1474fa7fa346" ma:termSetId="2f2a64c9-9254-4d19-9904-51fea5090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f6ec4467e9648c7aeeaf55817b6cc51" ma:index="28" ma:taxonomy="true" ma:internalName="nf6ec4467e9648c7aeeaf55817b6cc51" ma:taxonomyFieldName="ERIS_DocumentType" ma:displayName="Document Type" ma:readOnly="false" ma:fieldId="{7f6ec446-7e96-48c7-aeea-f55817b6cc51}" ma:sspId="2b1776d1-ae3b-49f8-a97b-1474fa7fa346" ma:termSetId="8291263e-1670-46c0-b090-f3efb02d9c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RIS_SupersededObsolete" ma:index="31" nillable="true" ma:displayName="Superseded/Obsolete?" ma:default="0" ma:internalName="ERIS_SupersededObsolete">
      <xsd:simpleType>
        <xsd:restriction base="dms:Boolean"/>
      </xsd:simple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6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7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Props1.xml><?xml version="1.0" encoding="utf-8"?>
<ds:datastoreItem xmlns:ds="http://schemas.openxmlformats.org/officeDocument/2006/customXml" ds:itemID="{9144AB04-8FF8-4D31-951E-74E8959682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6AFF67-B1C6-47A5-AFAF-D11E41CE352E}"/>
</file>

<file path=customXml/itemProps3.xml><?xml version="1.0" encoding="utf-8"?>
<ds:datastoreItem xmlns:ds="http://schemas.openxmlformats.org/officeDocument/2006/customXml" ds:itemID="{F6252B3F-C9E4-4316-A5FA-C8D3B9C09409}"/>
</file>

<file path=customXml/itemProps4.xml><?xml version="1.0" encoding="utf-8"?>
<ds:datastoreItem xmlns:ds="http://schemas.openxmlformats.org/officeDocument/2006/customXml" ds:itemID="{FF26F7DE-DE02-4CB2-87D4-E4AB7270F02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9401BF-C798-4FA9-A5BA-9414EEAC132F}"/>
</file>

<file path=customXml/itemProps6.xml><?xml version="1.0" encoding="utf-8"?>
<ds:datastoreItem xmlns:ds="http://schemas.openxmlformats.org/officeDocument/2006/customXml" ds:itemID="{8DD64A01-96C8-4D80-BFF8-A7D9A0CEFAF7}"/>
</file>

<file path=customXml/itemProps7.xml><?xml version="1.0" encoding="utf-8"?>
<ds:datastoreItem xmlns:ds="http://schemas.openxmlformats.org/officeDocument/2006/customXml" ds:itemID="{3854360F-C8CC-44D4-BBAB-0408588579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Banque de France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V_Operational Risk_structured template_LOG file</dc:title>
  <dc:creator>JB Parmentier</dc:creator>
  <cp:lastModifiedBy>Ioannis Ieronymidis</cp:lastModifiedBy>
  <cp:revision>8</cp:revision>
  <cp:lastPrinted>2015-05-21T18:26:00Z</cp:lastPrinted>
  <dcterms:created xsi:type="dcterms:W3CDTF">2020-07-03T12:46:00Z</dcterms:created>
  <dcterms:modified xsi:type="dcterms:W3CDTF">2020-11-19T08:35:00Z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Ref">
    <vt:lpwstr>PRA 2491602</vt:lpwstr>
  </property>
  <property fmtid="{D5CDD505-2E9C-101B-9397-08002B2CF9AE}" pid="4" name="DocVer">
    <vt:lpwstr>PRA 2491602v1</vt:lpwstr>
  </property>
  <property fmtid="{D5CDD505-2E9C-101B-9397-08002B2CF9AE}" pid="5" name="ContentTypeId">
    <vt:lpwstr>0x01010084A0DBB21E3DC54BA789567D0CCFAAD9005DB351B5634D6748AB9FB973AAD589AA</vt:lpwstr>
  </property>
  <property fmtid="{D5CDD505-2E9C-101B-9397-08002B2CF9AE}" pid="6" name="ERIS_Keywords">
    <vt:lpwstr>1;#Project Management|cea3a7db-f348-4c35-b78b-82f6e4e7dbce;#93;#Solvency II|9d7de132-f9bd-4b68-83a5-47bf5bf01789;#63;#Insurance|7d742bda-a71f-46ed-a0a2-2b27d7f827fc;#135;#Quantitative Reporting Templates|d7753427-b1c9-4f72-b6a6-10b2a5ee67e3;#147;#Internal Models|3d5fcbdf-bfdb-4014-a35e-dbf465a6c51e</vt:lpwstr>
  </property>
  <property fmtid="{D5CDD505-2E9C-101B-9397-08002B2CF9AE}" pid="7" name="ERIS_Department">
    <vt:lpwstr>61;#Oversight Department|8b947239-66c9-4ae5-9d54-b069a4b4190b</vt:lpwstr>
  </property>
  <property fmtid="{D5CDD505-2E9C-101B-9397-08002B2CF9AE}" pid="8" name="ERIS_DocumentType">
    <vt:lpwstr>7;#Technical Document|1a5bea9a-9455-4b42-9695-f3d22fbcc445</vt:lpwstr>
  </property>
  <property fmtid="{D5CDD505-2E9C-101B-9397-08002B2CF9AE}" pid="9" name="ERIS_Language">
    <vt:lpwstr>2;#English|2741a941-2920-4ba4-aa70-d8ed6ac1785d</vt:lpwstr>
  </property>
  <property fmtid="{D5CDD505-2E9C-101B-9397-08002B2CF9AE}" pid="10" name="RecordPoint_WorkflowType">
    <vt:lpwstr>ActiveSubmitStub</vt:lpwstr>
  </property>
  <property fmtid="{D5CDD505-2E9C-101B-9397-08002B2CF9AE}" pid="11" name="RecordPoint_ActiveItemWebId">
    <vt:lpwstr>{72809e12-a0cc-4141-b5f6-88f6d2715bef}</vt:lpwstr>
  </property>
  <property fmtid="{D5CDD505-2E9C-101B-9397-08002B2CF9AE}" pid="12" name="RecordPoint_ActiveItemSiteId">
    <vt:lpwstr>{4ecfeabf-6c67-434c-b719-7199089a9ce2}</vt:lpwstr>
  </property>
  <property fmtid="{D5CDD505-2E9C-101B-9397-08002B2CF9AE}" pid="13" name="RecordPoint_ActiveItemListId">
    <vt:lpwstr>{c783d5f0-a5e0-4695-a744-3555e56303e2}</vt:lpwstr>
  </property>
  <property fmtid="{D5CDD505-2E9C-101B-9397-08002B2CF9AE}" pid="14" name="RecordPoint_ActiveItemUniqueId">
    <vt:lpwstr>{24f7f9d9-70aa-401e-94d7-43cca1664e6a}</vt:lpwstr>
  </property>
  <property fmtid="{D5CDD505-2E9C-101B-9397-08002B2CF9AE}" pid="15" name="RecordPoint_RecordNumberSubmitted">
    <vt:lpwstr>EIOPA(2020)0068170</vt:lpwstr>
  </property>
  <property fmtid="{D5CDD505-2E9C-101B-9397-08002B2CF9AE}" pid="16" name="RecordPoint_SubmissionCompleted">
    <vt:lpwstr>2020-11-27T11:36:04.8857840+00:00</vt:lpwstr>
  </property>
</Properties>
</file>